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BC" w:rsidRPr="00EE5A38" w:rsidRDefault="003C70BC" w:rsidP="00F811AE">
      <w:pPr>
        <w:pStyle w:val="Heading8"/>
        <w:tabs>
          <w:tab w:val="center" w:pos="4680"/>
          <w:tab w:val="left" w:pos="7635"/>
        </w:tabs>
        <w:jc w:val="center"/>
        <w:rPr>
          <w:color w:val="000000" w:themeColor="text1"/>
          <w14:shadow w14:blurRad="0" w14:dist="0" w14:dir="0" w14:sx="0" w14:sy="0" w14:kx="0" w14:ky="0" w14:algn="none">
            <w14:srgbClr w14:val="000000"/>
          </w14:shadow>
          <w14:textOutline w14:w="9525" w14:cap="rnd" w14:cmpd="sng" w14:algn="ctr">
            <w14:solidFill>
              <w14:schemeClr w14:val="accent1"/>
            </w14:solidFill>
            <w14:prstDash w14:val="solid"/>
            <w14:bevel/>
          </w14:textOutline>
        </w:rPr>
      </w:pPr>
      <w:r w:rsidRPr="00EE5A38">
        <w:rPr>
          <w:color w:val="000000" w:themeColor="text1"/>
          <w14:shadow w14:blurRad="0" w14:dist="0" w14:dir="0" w14:sx="0" w14:sy="0" w14:kx="0" w14:ky="0" w14:algn="none">
            <w14:srgbClr w14:val="000000"/>
          </w14:shadow>
          <w14:textOutline w14:w="9525" w14:cap="rnd" w14:cmpd="sng" w14:algn="ctr">
            <w14:solidFill>
              <w14:schemeClr w14:val="accent1"/>
            </w14:solidFill>
            <w14:prstDash w14:val="solid"/>
            <w14:bevel/>
          </w14:textOutline>
        </w:rPr>
        <w:t>Consumer Perception Survey: MHSIP</w:t>
      </w:r>
    </w:p>
    <w:p w:rsidR="003C70BC" w:rsidRPr="00EE5A38" w:rsidRDefault="003C70BC" w:rsidP="003C70BC">
      <w:pPr>
        <w:pStyle w:val="Heading8"/>
        <w:tabs>
          <w:tab w:val="center" w:pos="4680"/>
          <w:tab w:val="left" w:pos="7635"/>
        </w:tabs>
        <w:jc w:val="center"/>
        <w:rPr>
          <w:color w:val="000000" w:themeColor="text1"/>
          <w:szCs w:val="24"/>
          <w14:shadow w14:blurRad="0" w14:dist="0" w14:dir="0" w14:sx="0" w14:sy="0" w14:kx="0" w14:ky="0" w14:algn="none">
            <w14:srgbClr w14:val="000000"/>
          </w14:shadow>
          <w14:textOutline w14:w="9525" w14:cap="rnd" w14:cmpd="sng" w14:algn="ctr">
            <w14:solidFill>
              <w14:schemeClr w14:val="accent1"/>
            </w14:solidFill>
            <w14:prstDash w14:val="solid"/>
            <w14:bevel/>
          </w14:textOutline>
        </w:rPr>
      </w:pPr>
      <w:r w:rsidRPr="00EE5A38">
        <w:rPr>
          <w:color w:val="000000" w:themeColor="text1"/>
          <w:szCs w:val="24"/>
          <w14:shadow w14:blurRad="0" w14:dist="0" w14:dir="0" w14:sx="0" w14:sy="0" w14:kx="0" w14:ky="0" w14:algn="none">
            <w14:srgbClr w14:val="000000"/>
          </w14:shadow>
          <w14:textOutline w14:w="9525" w14:cap="rnd" w14:cmpd="sng" w14:algn="ctr">
            <w14:solidFill>
              <w14:schemeClr w14:val="accent1"/>
            </w14:solidFill>
            <w14:prstDash w14:val="solid"/>
            <w14:bevel/>
          </w14:textOutline>
        </w:rPr>
        <w:t>May 2015 Administration</w:t>
      </w:r>
    </w:p>
    <w:p w:rsidR="003C70BC" w:rsidRPr="00196887" w:rsidRDefault="003C70BC" w:rsidP="003C70BC">
      <w:pPr>
        <w:jc w:val="center"/>
        <w:rPr>
          <w:rFonts w:ascii="Arial" w:hAnsi="Arial" w:cs="Arial"/>
          <w:b/>
          <w:sz w:val="24"/>
          <w:szCs w:val="24"/>
        </w:rPr>
      </w:pPr>
      <w:r w:rsidRPr="00196887">
        <w:rPr>
          <w:rFonts w:ascii="Arial" w:hAnsi="Arial" w:cs="Arial"/>
          <w:b/>
          <w:sz w:val="24"/>
          <w:szCs w:val="24"/>
        </w:rPr>
        <w:t>Adults and Seniors</w:t>
      </w:r>
    </w:p>
    <w:p w:rsidR="003C70BC" w:rsidRDefault="003C70BC" w:rsidP="003C70BC">
      <w:pPr>
        <w:jc w:val="center"/>
        <w:rPr>
          <w:sz w:val="24"/>
          <w:szCs w:val="24"/>
        </w:rPr>
      </w:pPr>
      <w:r>
        <w:rPr>
          <w:sz w:val="24"/>
          <w:szCs w:val="24"/>
        </w:rPr>
        <w:t>Jonathan Rich, Ph.D.</w:t>
      </w:r>
    </w:p>
    <w:p w:rsidR="003C70BC" w:rsidRDefault="003C70BC" w:rsidP="003C70BC">
      <w:pPr>
        <w:jc w:val="center"/>
        <w:rPr>
          <w:sz w:val="24"/>
          <w:szCs w:val="24"/>
        </w:rPr>
      </w:pPr>
      <w:r>
        <w:rPr>
          <w:sz w:val="24"/>
          <w:szCs w:val="24"/>
        </w:rPr>
        <w:t>December 2</w:t>
      </w:r>
      <w:r w:rsidR="00F65D8C">
        <w:rPr>
          <w:sz w:val="24"/>
          <w:szCs w:val="24"/>
        </w:rPr>
        <w:t>8</w:t>
      </w:r>
      <w:r>
        <w:rPr>
          <w:sz w:val="24"/>
          <w:szCs w:val="24"/>
        </w:rPr>
        <w:t>, 2015</w:t>
      </w:r>
    </w:p>
    <w:p w:rsidR="003C70BC" w:rsidRDefault="003C70BC" w:rsidP="003C70BC">
      <w:pPr>
        <w:jc w:val="center"/>
        <w:rPr>
          <w:sz w:val="24"/>
          <w:szCs w:val="24"/>
        </w:rPr>
      </w:pPr>
    </w:p>
    <w:p w:rsidR="003C70BC" w:rsidRDefault="003C70BC" w:rsidP="003C70BC">
      <w:pPr>
        <w:rPr>
          <w:sz w:val="24"/>
          <w:szCs w:val="24"/>
        </w:rPr>
      </w:pPr>
      <w:r>
        <w:rPr>
          <w:sz w:val="24"/>
          <w:szCs w:val="24"/>
        </w:rPr>
        <w:t xml:space="preserve">The Mental Health Statistical Improvement Program (MHSIP) was offered to all clients attending mental health services at a County or contract adult program during the week of </w:t>
      </w:r>
      <w:r w:rsidR="00D95D41">
        <w:rPr>
          <w:sz w:val="24"/>
          <w:szCs w:val="24"/>
        </w:rPr>
        <w:t>May</w:t>
      </w:r>
      <w:r w:rsidR="00677BFB">
        <w:rPr>
          <w:sz w:val="24"/>
          <w:szCs w:val="24"/>
        </w:rPr>
        <w:t xml:space="preserve"> 11-15</w:t>
      </w:r>
      <w:r>
        <w:rPr>
          <w:sz w:val="24"/>
          <w:szCs w:val="24"/>
        </w:rPr>
        <w:t>, 201</w:t>
      </w:r>
      <w:r w:rsidR="00D95D41">
        <w:rPr>
          <w:sz w:val="24"/>
          <w:szCs w:val="24"/>
        </w:rPr>
        <w:t>5</w:t>
      </w:r>
      <w:r>
        <w:rPr>
          <w:sz w:val="24"/>
          <w:szCs w:val="24"/>
        </w:rPr>
        <w:t>.  There were 998 records returned. Records were discarded if program was missing, if the program was part of Children and Youth Behavioral Health, or if the age was less than 18 or over 120.  This left 796 cases.</w:t>
      </w:r>
    </w:p>
    <w:p w:rsidR="003C70BC" w:rsidRDefault="003C70BC" w:rsidP="003C70BC">
      <w:pPr>
        <w:rPr>
          <w:sz w:val="24"/>
          <w:szCs w:val="24"/>
        </w:rPr>
      </w:pPr>
    </w:p>
    <w:p w:rsidR="003C70BC" w:rsidRDefault="003C70BC" w:rsidP="003C70BC">
      <w:pPr>
        <w:rPr>
          <w:sz w:val="24"/>
          <w:szCs w:val="24"/>
          <w:u w:val="single"/>
        </w:rPr>
      </w:pPr>
      <w:r>
        <w:rPr>
          <w:sz w:val="24"/>
          <w:szCs w:val="24"/>
          <w:u w:val="single"/>
        </w:rPr>
        <w:t>Results</w:t>
      </w:r>
    </w:p>
    <w:p w:rsidR="003C70BC" w:rsidRDefault="003C70BC" w:rsidP="003C70BC">
      <w:pPr>
        <w:rPr>
          <w:sz w:val="24"/>
          <w:szCs w:val="24"/>
          <w:u w:val="single"/>
        </w:rPr>
      </w:pPr>
    </w:p>
    <w:p w:rsidR="003C70BC" w:rsidRDefault="003C70BC" w:rsidP="003C70BC">
      <w:pPr>
        <w:rPr>
          <w:sz w:val="24"/>
          <w:szCs w:val="24"/>
          <w:u w:val="single"/>
        </w:rPr>
      </w:pPr>
      <w:r w:rsidRPr="00332A0B">
        <w:rPr>
          <w:sz w:val="24"/>
          <w:szCs w:val="24"/>
          <w:u w:val="single"/>
        </w:rPr>
        <w:t>Sample description:</w:t>
      </w:r>
    </w:p>
    <w:p w:rsidR="003C70BC" w:rsidRPr="00332A0B" w:rsidRDefault="003C70BC" w:rsidP="003C70BC">
      <w:pPr>
        <w:rPr>
          <w:sz w:val="24"/>
          <w:szCs w:val="24"/>
          <w:u w:val="single"/>
        </w:rPr>
      </w:pPr>
    </w:p>
    <w:p w:rsidR="003C70BC" w:rsidRDefault="003C70BC" w:rsidP="003C70BC">
      <w:pPr>
        <w:ind w:left="2880" w:hanging="2880"/>
        <w:rPr>
          <w:sz w:val="24"/>
          <w:szCs w:val="24"/>
        </w:rPr>
      </w:pPr>
      <w:r>
        <w:rPr>
          <w:sz w:val="24"/>
          <w:szCs w:val="24"/>
        </w:rPr>
        <w:t>N:</w:t>
      </w:r>
      <w:r>
        <w:rPr>
          <w:sz w:val="24"/>
          <w:szCs w:val="24"/>
        </w:rPr>
        <w:tab/>
        <w:t>796</w:t>
      </w:r>
    </w:p>
    <w:p w:rsidR="003C70BC" w:rsidRDefault="003C70BC" w:rsidP="003C70BC">
      <w:pPr>
        <w:ind w:left="2880" w:hanging="2880"/>
        <w:rPr>
          <w:sz w:val="24"/>
          <w:szCs w:val="24"/>
        </w:rPr>
      </w:pPr>
      <w:r>
        <w:rPr>
          <w:sz w:val="24"/>
          <w:szCs w:val="24"/>
        </w:rPr>
        <w:t>Gender (n = 768):</w:t>
      </w:r>
      <w:r>
        <w:rPr>
          <w:sz w:val="24"/>
          <w:szCs w:val="24"/>
        </w:rPr>
        <w:tab/>
        <w:t>F 5</w:t>
      </w:r>
      <w:r w:rsidR="00677BFB">
        <w:rPr>
          <w:sz w:val="24"/>
          <w:szCs w:val="24"/>
        </w:rPr>
        <w:t>3.4</w:t>
      </w:r>
      <w:r>
        <w:rPr>
          <w:sz w:val="24"/>
          <w:szCs w:val="24"/>
        </w:rPr>
        <w:t>%, M 4</w:t>
      </w:r>
      <w:r w:rsidR="00677BFB">
        <w:rPr>
          <w:sz w:val="24"/>
          <w:szCs w:val="24"/>
        </w:rPr>
        <w:t>5.8</w:t>
      </w:r>
      <w:r>
        <w:rPr>
          <w:sz w:val="24"/>
          <w:szCs w:val="24"/>
        </w:rPr>
        <w:t xml:space="preserve">%, </w:t>
      </w:r>
      <w:proofErr w:type="spellStart"/>
      <w:r>
        <w:rPr>
          <w:sz w:val="24"/>
          <w:szCs w:val="24"/>
        </w:rPr>
        <w:t>O</w:t>
      </w:r>
      <w:proofErr w:type="spellEnd"/>
      <w:r>
        <w:rPr>
          <w:sz w:val="24"/>
          <w:szCs w:val="24"/>
        </w:rPr>
        <w:t xml:space="preserve"> 0.8%</w:t>
      </w:r>
    </w:p>
    <w:p w:rsidR="003C70BC" w:rsidRDefault="003C70BC" w:rsidP="003C70BC">
      <w:pPr>
        <w:ind w:left="2880" w:hanging="2880"/>
        <w:rPr>
          <w:sz w:val="24"/>
          <w:szCs w:val="24"/>
        </w:rPr>
      </w:pPr>
      <w:r>
        <w:rPr>
          <w:sz w:val="24"/>
          <w:szCs w:val="24"/>
        </w:rPr>
        <w:t>Age (n = 796):</w:t>
      </w:r>
      <w:r>
        <w:rPr>
          <w:sz w:val="24"/>
          <w:szCs w:val="24"/>
        </w:rPr>
        <w:tab/>
        <w:t>Mean: 40 years, s = 12.6, range = 18 to 80.</w:t>
      </w:r>
    </w:p>
    <w:p w:rsidR="003C70BC" w:rsidRDefault="003C70BC" w:rsidP="003C70BC">
      <w:pPr>
        <w:ind w:left="2880" w:hanging="2880"/>
        <w:rPr>
          <w:sz w:val="24"/>
          <w:szCs w:val="24"/>
        </w:rPr>
      </w:pPr>
      <w:r>
        <w:rPr>
          <w:sz w:val="24"/>
          <w:szCs w:val="24"/>
        </w:rPr>
        <w:t>Form Language (n = 796):</w:t>
      </w:r>
      <w:r>
        <w:rPr>
          <w:sz w:val="24"/>
          <w:szCs w:val="24"/>
        </w:rPr>
        <w:tab/>
        <w:t>English, 91.1% Spanish, 7.3%, Vietnamese, 1.6%</w:t>
      </w:r>
    </w:p>
    <w:p w:rsidR="003C70BC" w:rsidRDefault="003C70BC" w:rsidP="003C70BC">
      <w:pPr>
        <w:rPr>
          <w:sz w:val="24"/>
          <w:szCs w:val="24"/>
        </w:rPr>
      </w:pPr>
      <w:r>
        <w:rPr>
          <w:sz w:val="24"/>
          <w:szCs w:val="24"/>
        </w:rPr>
        <w:t>County/ Contract (n = 796):</w:t>
      </w:r>
      <w:r>
        <w:rPr>
          <w:sz w:val="24"/>
          <w:szCs w:val="24"/>
        </w:rPr>
        <w:tab/>
        <w:t xml:space="preserve">County 53.8% vs. Contract 46.2% </w:t>
      </w:r>
    </w:p>
    <w:p w:rsidR="003C70BC" w:rsidRDefault="003C70BC" w:rsidP="003C70BC">
      <w:pPr>
        <w:pStyle w:val="Caption"/>
        <w:keepNext/>
        <w:jc w:val="center"/>
      </w:pPr>
      <w:r>
        <w:lastRenderedPageBreak/>
        <w:t xml:space="preserve">Figure </w:t>
      </w:r>
      <w:fldSimple w:instr=" SEQ Figure \* ARABIC ">
        <w:r w:rsidR="00A34DD3">
          <w:rPr>
            <w:noProof/>
          </w:rPr>
          <w:t>1</w:t>
        </w:r>
      </w:fldSimple>
      <w:r>
        <w:t>. Division (n = 796)</w:t>
      </w:r>
    </w:p>
    <w:p w:rsidR="003C70BC" w:rsidRDefault="003C70BC" w:rsidP="003C70BC">
      <w:pPr>
        <w:jc w:val="center"/>
        <w:rPr>
          <w:sz w:val="24"/>
          <w:szCs w:val="24"/>
        </w:rPr>
      </w:pPr>
      <w:r>
        <w:rPr>
          <w:noProof/>
          <w:sz w:val="24"/>
          <w:szCs w:val="24"/>
        </w:rPr>
        <w:drawing>
          <wp:inline distT="0" distB="0" distL="0" distR="0" wp14:anchorId="7A1A9373" wp14:editId="68978B26">
            <wp:extent cx="5477774" cy="316435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770" cy="3178213"/>
                    </a:xfrm>
                    <a:prstGeom prst="rect">
                      <a:avLst/>
                    </a:prstGeom>
                    <a:noFill/>
                    <a:ln>
                      <a:noFill/>
                    </a:ln>
                  </pic:spPr>
                </pic:pic>
              </a:graphicData>
            </a:graphic>
          </wp:inline>
        </w:drawing>
      </w:r>
    </w:p>
    <w:p w:rsidR="003C70BC" w:rsidRDefault="003C70BC" w:rsidP="003C70BC">
      <w:pPr>
        <w:jc w:val="center"/>
        <w:rPr>
          <w:sz w:val="24"/>
          <w:szCs w:val="24"/>
        </w:rPr>
      </w:pPr>
    </w:p>
    <w:p w:rsidR="003C70BC" w:rsidRDefault="003C70BC" w:rsidP="003C70BC">
      <w:pPr>
        <w:pStyle w:val="Caption"/>
        <w:jc w:val="center"/>
        <w:rPr>
          <w:noProof/>
          <w:sz w:val="24"/>
          <w:szCs w:val="24"/>
        </w:rPr>
      </w:pPr>
      <w:r>
        <w:t xml:space="preserve">Figure </w:t>
      </w:r>
      <w:fldSimple w:instr=" SEQ Figure \* ARABIC ">
        <w:r w:rsidR="00A34DD3">
          <w:rPr>
            <w:noProof/>
          </w:rPr>
          <w:t>2</w:t>
        </w:r>
      </w:fldSimple>
      <w:r>
        <w:t>. Race/Ethnicity (n = 762)</w:t>
      </w:r>
    </w:p>
    <w:p w:rsidR="003C70BC" w:rsidRPr="00D2276B" w:rsidRDefault="003C70BC" w:rsidP="003C70BC">
      <w:r>
        <w:rPr>
          <w:noProof/>
        </w:rPr>
        <w:drawing>
          <wp:inline distT="0" distB="0" distL="0" distR="0" wp14:anchorId="18C2320F" wp14:editId="6D072996">
            <wp:extent cx="5934710" cy="338137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3381375"/>
                    </a:xfrm>
                    <a:prstGeom prst="rect">
                      <a:avLst/>
                    </a:prstGeom>
                    <a:noFill/>
                    <a:ln>
                      <a:noFill/>
                    </a:ln>
                  </pic:spPr>
                </pic:pic>
              </a:graphicData>
            </a:graphic>
          </wp:inline>
        </w:drawing>
      </w:r>
    </w:p>
    <w:p w:rsidR="003C70BC" w:rsidRDefault="003C70BC" w:rsidP="003C70BC">
      <w:pPr>
        <w:rPr>
          <w:sz w:val="24"/>
          <w:szCs w:val="24"/>
        </w:rPr>
      </w:pPr>
    </w:p>
    <w:p w:rsidR="003C70BC" w:rsidRDefault="003C70BC" w:rsidP="003C70BC">
      <w:pPr>
        <w:rPr>
          <w:sz w:val="24"/>
          <w:szCs w:val="24"/>
        </w:rPr>
      </w:pPr>
    </w:p>
    <w:p w:rsidR="003C70BC" w:rsidRDefault="003C70BC" w:rsidP="003C70BC">
      <w:pPr>
        <w:rPr>
          <w:sz w:val="24"/>
          <w:szCs w:val="24"/>
        </w:rPr>
      </w:pPr>
    </w:p>
    <w:p w:rsidR="003C70BC" w:rsidRDefault="003C70BC" w:rsidP="003C70BC">
      <w:pPr>
        <w:keepNext/>
        <w:keepLines/>
        <w:rPr>
          <w:sz w:val="24"/>
          <w:szCs w:val="24"/>
        </w:rPr>
      </w:pPr>
      <w:r>
        <w:rPr>
          <w:sz w:val="24"/>
          <w:szCs w:val="24"/>
          <w:u w:val="single"/>
        </w:rPr>
        <w:lastRenderedPageBreak/>
        <w:t>MHSIP Scale Scores</w:t>
      </w:r>
      <w:r>
        <w:rPr>
          <w:sz w:val="24"/>
          <w:szCs w:val="24"/>
        </w:rPr>
        <w:t>:</w:t>
      </w:r>
    </w:p>
    <w:p w:rsidR="00912CFA" w:rsidRDefault="00912CFA" w:rsidP="003C70BC">
      <w:pPr>
        <w:keepNext/>
        <w:keepLines/>
        <w:rPr>
          <w:sz w:val="24"/>
          <w:szCs w:val="24"/>
        </w:rPr>
      </w:pPr>
    </w:p>
    <w:p w:rsidR="00912CFA" w:rsidRDefault="00912CFA" w:rsidP="003C70BC">
      <w:pPr>
        <w:keepNext/>
        <w:keepLines/>
        <w:rPr>
          <w:sz w:val="24"/>
          <w:szCs w:val="24"/>
        </w:rPr>
      </w:pPr>
      <w:r>
        <w:rPr>
          <w:sz w:val="24"/>
          <w:szCs w:val="24"/>
        </w:rPr>
        <w:t>Consistent with past results, responses to service satisfaction items average between “Agree” (4) and “Strongly Agree” (5).  Response to items that reflect personal functioning are lower, just below the “Agree” level.</w:t>
      </w:r>
      <w:r w:rsidR="002555A7">
        <w:rPr>
          <w:sz w:val="24"/>
          <w:szCs w:val="24"/>
        </w:rPr>
        <w:t xml:space="preserve">  More than 90% of responses endorsed service satisfaction items; about three fourths of responses endorsed personal functioning items.</w:t>
      </w:r>
    </w:p>
    <w:p w:rsidR="003C70BC" w:rsidRDefault="003C70BC" w:rsidP="003C70BC">
      <w:pPr>
        <w:keepNext/>
        <w:keepLines/>
        <w:rPr>
          <w:noProof/>
          <w:sz w:val="24"/>
          <w:szCs w:val="24"/>
        </w:rPr>
      </w:pPr>
    </w:p>
    <w:p w:rsidR="003C70BC" w:rsidRDefault="003C70BC" w:rsidP="003C70BC">
      <w:pPr>
        <w:pStyle w:val="Caption"/>
        <w:keepNext/>
        <w:keepLines/>
      </w:pPr>
      <w:r>
        <w:t xml:space="preserve">Figure </w:t>
      </w:r>
      <w:fldSimple w:instr=" SEQ Figure \* ARABIC ">
        <w:r w:rsidR="00A34DD3">
          <w:rPr>
            <w:noProof/>
          </w:rPr>
          <w:t>3</w:t>
        </w:r>
      </w:fldSimple>
      <w:r>
        <w:t xml:space="preserve">. </w:t>
      </w:r>
      <w:r w:rsidRPr="00931C83">
        <w:t xml:space="preserve">Mean Scores: </w:t>
      </w:r>
      <w:r>
        <w:t>MHSIP Service Satisfaction</w:t>
      </w:r>
    </w:p>
    <w:p w:rsidR="003C70BC" w:rsidRDefault="003C70BC" w:rsidP="003C70BC">
      <w:pPr>
        <w:pStyle w:val="Caption"/>
        <w:keepNext/>
        <w:keepLines/>
      </w:pPr>
      <w:r>
        <w:t>(S</w:t>
      </w:r>
      <w:r w:rsidRPr="00931C83">
        <w:t xml:space="preserve">cale is 1-"strongly </w:t>
      </w:r>
      <w:r>
        <w:t>disagree" to 5-"strongly agree")</w:t>
      </w:r>
    </w:p>
    <w:p w:rsidR="003C70BC" w:rsidRDefault="003C70BC" w:rsidP="003C70BC">
      <w:pPr>
        <w:keepNext/>
        <w:keepLines/>
      </w:pPr>
    </w:p>
    <w:p w:rsidR="003C70BC" w:rsidRDefault="00274DF5" w:rsidP="003C70BC">
      <w:pPr>
        <w:keepNext/>
        <w:keepLines/>
      </w:pPr>
      <w:r>
        <w:rPr>
          <w:noProof/>
        </w:rPr>
        <w:drawing>
          <wp:inline distT="0" distB="0" distL="0" distR="0">
            <wp:extent cx="5943600" cy="4297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97680"/>
                    </a:xfrm>
                    <a:prstGeom prst="rect">
                      <a:avLst/>
                    </a:prstGeom>
                    <a:noFill/>
                    <a:ln>
                      <a:noFill/>
                    </a:ln>
                  </pic:spPr>
                </pic:pic>
              </a:graphicData>
            </a:graphic>
          </wp:inline>
        </w:drawing>
      </w:r>
    </w:p>
    <w:p w:rsidR="003C70BC" w:rsidRDefault="003C70BC" w:rsidP="003C70BC">
      <w:r>
        <w:br w:type="page"/>
      </w:r>
    </w:p>
    <w:p w:rsidR="00242A85" w:rsidRDefault="00242A85" w:rsidP="003C70BC">
      <w:pPr>
        <w:rPr>
          <w:b/>
          <w:bCs/>
        </w:rPr>
      </w:pPr>
    </w:p>
    <w:p w:rsidR="003C70BC" w:rsidRDefault="003C70BC" w:rsidP="00F20004">
      <w:pPr>
        <w:pStyle w:val="Caption"/>
        <w:keepNext/>
        <w:jc w:val="center"/>
      </w:pPr>
      <w:r>
        <w:t xml:space="preserve">Figure </w:t>
      </w:r>
      <w:fldSimple w:instr=" SEQ Figure \* ARABIC ">
        <w:r w:rsidR="00A34DD3">
          <w:rPr>
            <w:noProof/>
          </w:rPr>
          <w:t>4</w:t>
        </w:r>
      </w:fldSimple>
      <w:r>
        <w:t>. Percent with scores at or above 3.5, "Agree" and "Strongly Agree"</w:t>
      </w:r>
    </w:p>
    <w:p w:rsidR="003C70BC" w:rsidRDefault="00274DF5" w:rsidP="003C70BC">
      <w:pPr>
        <w:keepNext/>
        <w:keepLines/>
      </w:pPr>
      <w:r>
        <w:rPr>
          <w:noProof/>
        </w:rPr>
        <w:drawing>
          <wp:inline distT="0" distB="0" distL="0" distR="0">
            <wp:extent cx="5760720" cy="4663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663440"/>
                    </a:xfrm>
                    <a:prstGeom prst="rect">
                      <a:avLst/>
                    </a:prstGeom>
                    <a:noFill/>
                    <a:ln>
                      <a:noFill/>
                    </a:ln>
                  </pic:spPr>
                </pic:pic>
              </a:graphicData>
            </a:graphic>
          </wp:inline>
        </w:drawing>
      </w:r>
    </w:p>
    <w:p w:rsidR="003C70BC" w:rsidRDefault="003C70BC" w:rsidP="003C70BC">
      <w:pPr>
        <w:keepNext/>
        <w:keepLines/>
      </w:pPr>
    </w:p>
    <w:p w:rsidR="003C70BC" w:rsidRPr="00F2090B" w:rsidRDefault="003C70BC" w:rsidP="003C70BC">
      <w:pPr>
        <w:rPr>
          <w:sz w:val="24"/>
          <w:szCs w:val="24"/>
        </w:rPr>
      </w:pPr>
    </w:p>
    <w:p w:rsidR="005659C1" w:rsidRPr="005659C1" w:rsidRDefault="005659C1" w:rsidP="00632143">
      <w:pPr>
        <w:rPr>
          <w:sz w:val="24"/>
          <w:szCs w:val="24"/>
          <w:u w:val="single"/>
        </w:rPr>
      </w:pPr>
      <w:r>
        <w:rPr>
          <w:sz w:val="24"/>
          <w:szCs w:val="24"/>
          <w:u w:val="single"/>
        </w:rPr>
        <w:t>Factors affecting MHSIP scores</w:t>
      </w:r>
    </w:p>
    <w:p w:rsidR="005659C1" w:rsidRDefault="005659C1" w:rsidP="00632143"/>
    <w:p w:rsidR="006A493C" w:rsidRDefault="005659C1" w:rsidP="00632143">
      <w:pPr>
        <w:rPr>
          <w:sz w:val="24"/>
          <w:szCs w:val="24"/>
        </w:rPr>
      </w:pPr>
      <w:r>
        <w:rPr>
          <w:sz w:val="24"/>
          <w:szCs w:val="24"/>
        </w:rPr>
        <w:t>The MHSIP mean scores did not differ significantly by race/ethnicity</w:t>
      </w:r>
      <w:r w:rsidR="00A54D02">
        <w:rPr>
          <w:sz w:val="24"/>
          <w:szCs w:val="24"/>
        </w:rPr>
        <w:t xml:space="preserve"> (see Figure 5)</w:t>
      </w:r>
      <w:r w:rsidR="005D5A6B">
        <w:rPr>
          <w:sz w:val="24"/>
          <w:szCs w:val="24"/>
        </w:rPr>
        <w:t>,</w:t>
      </w:r>
      <w:r>
        <w:rPr>
          <w:sz w:val="24"/>
          <w:szCs w:val="24"/>
        </w:rPr>
        <w:t xml:space="preserve"> whether a program was County vs. contract</w:t>
      </w:r>
      <w:r w:rsidR="005D5A6B">
        <w:rPr>
          <w:sz w:val="24"/>
          <w:szCs w:val="24"/>
        </w:rPr>
        <w:t>, or by length of time in the program</w:t>
      </w:r>
      <w:r>
        <w:rPr>
          <w:sz w:val="24"/>
          <w:szCs w:val="24"/>
        </w:rPr>
        <w:t xml:space="preserve">.  </w:t>
      </w:r>
    </w:p>
    <w:p w:rsidR="006D0AD8" w:rsidRDefault="006D0AD8" w:rsidP="00632143">
      <w:pPr>
        <w:rPr>
          <w:sz w:val="24"/>
          <w:szCs w:val="24"/>
        </w:rPr>
      </w:pPr>
    </w:p>
    <w:p w:rsidR="009E08A5" w:rsidRDefault="009E08A5" w:rsidP="009E08A5">
      <w:pPr>
        <w:pStyle w:val="Caption"/>
        <w:keepNext/>
        <w:jc w:val="center"/>
      </w:pPr>
      <w:r>
        <w:lastRenderedPageBreak/>
        <w:t xml:space="preserve">Figure </w:t>
      </w:r>
      <w:fldSimple w:instr=" SEQ Figure \* ARABIC ">
        <w:r w:rsidR="00A34DD3">
          <w:rPr>
            <w:noProof/>
          </w:rPr>
          <w:t>5</w:t>
        </w:r>
      </w:fldSimple>
      <w:r>
        <w:t xml:space="preserve">. MHSIP scores by race/ethnicity </w:t>
      </w:r>
      <w:r>
        <w:br/>
        <w:t xml:space="preserve">(Note: Race/ethnicity differences are non-significant on all scales, </w:t>
      </w:r>
      <w:r w:rsidRPr="009E08A5">
        <w:rPr>
          <w:i/>
        </w:rPr>
        <w:t>p</w:t>
      </w:r>
      <w:r>
        <w:t xml:space="preserve"> &gt; .01)</w:t>
      </w:r>
    </w:p>
    <w:p w:rsidR="006D0AD8" w:rsidRDefault="006D0AD8" w:rsidP="00632143">
      <w:pPr>
        <w:rPr>
          <w:sz w:val="24"/>
          <w:szCs w:val="24"/>
        </w:rPr>
      </w:pPr>
      <w:r>
        <w:rPr>
          <w:noProof/>
          <w:sz w:val="24"/>
          <w:szCs w:val="24"/>
        </w:rPr>
        <w:drawing>
          <wp:inline distT="0" distB="0" distL="0" distR="0" wp14:anchorId="606F87E6" wp14:editId="31BD7785">
            <wp:extent cx="5934710" cy="40976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710" cy="4097655"/>
                    </a:xfrm>
                    <a:prstGeom prst="rect">
                      <a:avLst/>
                    </a:prstGeom>
                    <a:noFill/>
                    <a:ln>
                      <a:noFill/>
                    </a:ln>
                  </pic:spPr>
                </pic:pic>
              </a:graphicData>
            </a:graphic>
          </wp:inline>
        </w:drawing>
      </w:r>
    </w:p>
    <w:p w:rsidR="006A493C" w:rsidRDefault="006A493C" w:rsidP="00632143">
      <w:pPr>
        <w:rPr>
          <w:sz w:val="24"/>
          <w:szCs w:val="24"/>
        </w:rPr>
      </w:pPr>
    </w:p>
    <w:p w:rsidR="00A54D02" w:rsidRDefault="00A54D02" w:rsidP="00632143">
      <w:pPr>
        <w:rPr>
          <w:sz w:val="24"/>
          <w:szCs w:val="24"/>
        </w:rPr>
      </w:pPr>
      <w:r>
        <w:rPr>
          <w:sz w:val="24"/>
          <w:szCs w:val="24"/>
        </w:rPr>
        <w:t>MHSIP scores differed by form language on only one scale, Perception of Quality.  Consumers who responded to the Spanish-language survey rated the program as higher quality tha</w:t>
      </w:r>
      <w:r w:rsidR="00715854">
        <w:rPr>
          <w:sz w:val="24"/>
          <w:szCs w:val="24"/>
        </w:rPr>
        <w:t>n</w:t>
      </w:r>
      <w:bookmarkStart w:id="0" w:name="_GoBack"/>
      <w:bookmarkEnd w:id="0"/>
      <w:r>
        <w:rPr>
          <w:sz w:val="24"/>
          <w:szCs w:val="24"/>
        </w:rPr>
        <w:t xml:space="preserve"> consumers who took the English- or Vietnamese-language survey (Figure 6).</w:t>
      </w:r>
    </w:p>
    <w:p w:rsidR="00A54D02" w:rsidRDefault="00A54D02" w:rsidP="00A54D02">
      <w:pPr>
        <w:pStyle w:val="Caption"/>
        <w:keepNext/>
        <w:jc w:val="center"/>
      </w:pPr>
      <w:r>
        <w:lastRenderedPageBreak/>
        <w:t xml:space="preserve">Figure </w:t>
      </w:r>
      <w:fldSimple w:instr=" SEQ Figure \* ARABIC ">
        <w:r w:rsidR="00A34DD3">
          <w:rPr>
            <w:noProof/>
          </w:rPr>
          <w:t>6</w:t>
        </w:r>
      </w:fldSimple>
      <w:r>
        <w:t>. MHSIP scores by form language</w:t>
      </w:r>
    </w:p>
    <w:p w:rsidR="00A54D02" w:rsidRDefault="00A54D02" w:rsidP="00632143">
      <w:pPr>
        <w:rPr>
          <w:sz w:val="24"/>
          <w:szCs w:val="24"/>
        </w:rPr>
      </w:pPr>
      <w:r>
        <w:rPr>
          <w:noProof/>
          <w:sz w:val="24"/>
          <w:szCs w:val="24"/>
        </w:rPr>
        <w:drawing>
          <wp:inline distT="0" distB="0" distL="0" distR="0">
            <wp:extent cx="5943600" cy="4297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97680"/>
                    </a:xfrm>
                    <a:prstGeom prst="rect">
                      <a:avLst/>
                    </a:prstGeom>
                    <a:noFill/>
                    <a:ln>
                      <a:noFill/>
                    </a:ln>
                  </pic:spPr>
                </pic:pic>
              </a:graphicData>
            </a:graphic>
          </wp:inline>
        </w:drawing>
      </w:r>
    </w:p>
    <w:p w:rsidR="00A54D02" w:rsidRDefault="00A54D02" w:rsidP="00632143">
      <w:pPr>
        <w:rPr>
          <w:sz w:val="24"/>
          <w:szCs w:val="24"/>
        </w:rPr>
      </w:pPr>
    </w:p>
    <w:p w:rsidR="00A54D02" w:rsidRDefault="00A54D02" w:rsidP="00632143">
      <w:pPr>
        <w:rPr>
          <w:sz w:val="24"/>
          <w:szCs w:val="24"/>
        </w:rPr>
      </w:pPr>
    </w:p>
    <w:p w:rsidR="00EF7FA1" w:rsidRPr="005659C1" w:rsidRDefault="009E08A5" w:rsidP="00632143">
      <w:pPr>
        <w:rPr>
          <w:sz w:val="24"/>
          <w:szCs w:val="24"/>
        </w:rPr>
      </w:pPr>
      <w:r>
        <w:rPr>
          <w:sz w:val="24"/>
          <w:szCs w:val="24"/>
        </w:rPr>
        <w:t xml:space="preserve">As seen in Figure </w:t>
      </w:r>
      <w:r w:rsidR="00A34DD3">
        <w:rPr>
          <w:sz w:val="24"/>
          <w:szCs w:val="24"/>
        </w:rPr>
        <w:t>7</w:t>
      </w:r>
      <w:r w:rsidR="005659C1">
        <w:rPr>
          <w:sz w:val="24"/>
          <w:szCs w:val="24"/>
        </w:rPr>
        <w:t xml:space="preserve">, women’s satisfaction ratings were slightly higher than men’s.  </w:t>
      </w:r>
    </w:p>
    <w:p w:rsidR="00360FB2" w:rsidRDefault="00360FB2" w:rsidP="00360FB2">
      <w:pPr>
        <w:pStyle w:val="Caption"/>
        <w:keepNext/>
        <w:jc w:val="center"/>
      </w:pPr>
      <w:r>
        <w:lastRenderedPageBreak/>
        <w:t xml:space="preserve">Figure </w:t>
      </w:r>
      <w:fldSimple w:instr=" SEQ Figure \* ARABIC ">
        <w:r w:rsidR="00A34DD3">
          <w:rPr>
            <w:noProof/>
          </w:rPr>
          <w:t>7</w:t>
        </w:r>
      </w:fldSimple>
      <w:r>
        <w:t>. MHSIP differences by gender</w:t>
      </w:r>
    </w:p>
    <w:p w:rsidR="00FD32FB" w:rsidRDefault="00894D1C" w:rsidP="00632143">
      <w:r>
        <w:rPr>
          <w:noProof/>
        </w:rPr>
        <w:drawing>
          <wp:inline distT="0" distB="0" distL="0" distR="0">
            <wp:extent cx="5943600" cy="3813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13175"/>
                    </a:xfrm>
                    <a:prstGeom prst="rect">
                      <a:avLst/>
                    </a:prstGeom>
                    <a:noFill/>
                    <a:ln>
                      <a:noFill/>
                    </a:ln>
                  </pic:spPr>
                </pic:pic>
              </a:graphicData>
            </a:graphic>
          </wp:inline>
        </w:drawing>
      </w:r>
    </w:p>
    <w:p w:rsidR="003946D3" w:rsidRDefault="003946D3" w:rsidP="00632143"/>
    <w:p w:rsidR="0039128B" w:rsidRDefault="00A34DD3" w:rsidP="00632143">
      <w:pPr>
        <w:rPr>
          <w:sz w:val="24"/>
          <w:szCs w:val="24"/>
        </w:rPr>
      </w:pPr>
      <w:r>
        <w:rPr>
          <w:sz w:val="24"/>
          <w:szCs w:val="24"/>
        </w:rPr>
        <w:t>As reflected by Figure 8</w:t>
      </w:r>
      <w:r w:rsidR="006E4824">
        <w:rPr>
          <w:sz w:val="24"/>
          <w:szCs w:val="24"/>
        </w:rPr>
        <w:t xml:space="preserve">, all MHSIP scales differed by division.  Consumers in the </w:t>
      </w:r>
      <w:proofErr w:type="spellStart"/>
      <w:r w:rsidR="006E4824">
        <w:rPr>
          <w:sz w:val="24"/>
          <w:szCs w:val="24"/>
        </w:rPr>
        <w:t>Ca</w:t>
      </w:r>
      <w:r w:rsidR="005B767F">
        <w:rPr>
          <w:sz w:val="24"/>
          <w:szCs w:val="24"/>
        </w:rPr>
        <w:t>lWorks</w:t>
      </w:r>
      <w:proofErr w:type="spellEnd"/>
      <w:r w:rsidR="005B767F">
        <w:rPr>
          <w:sz w:val="24"/>
          <w:szCs w:val="24"/>
        </w:rPr>
        <w:t xml:space="preserve"> and Prevention &amp; </w:t>
      </w:r>
      <w:r w:rsidR="006E4824">
        <w:rPr>
          <w:sz w:val="24"/>
          <w:szCs w:val="24"/>
        </w:rPr>
        <w:t xml:space="preserve">Intervention programs tended to give the highest satisfaction ratings.  </w:t>
      </w:r>
      <w:r w:rsidR="005B767F">
        <w:rPr>
          <w:sz w:val="24"/>
          <w:szCs w:val="24"/>
        </w:rPr>
        <w:t>Consumers in Substance Use Disorder programs tending to rate their own functioning highest.</w:t>
      </w:r>
    </w:p>
    <w:p w:rsidR="005B767F" w:rsidRDefault="005B767F" w:rsidP="00632143">
      <w:pPr>
        <w:rPr>
          <w:sz w:val="24"/>
          <w:szCs w:val="24"/>
        </w:rPr>
      </w:pPr>
    </w:p>
    <w:p w:rsidR="005B767F" w:rsidRPr="0039128B" w:rsidRDefault="005B767F" w:rsidP="00632143">
      <w:pPr>
        <w:rPr>
          <w:sz w:val="24"/>
          <w:szCs w:val="24"/>
        </w:rPr>
      </w:pPr>
    </w:p>
    <w:p w:rsidR="00F20004" w:rsidRDefault="00F20004" w:rsidP="00F20004">
      <w:pPr>
        <w:pStyle w:val="Caption"/>
        <w:keepNext/>
        <w:jc w:val="center"/>
      </w:pPr>
      <w:r>
        <w:lastRenderedPageBreak/>
        <w:t xml:space="preserve">Figure </w:t>
      </w:r>
      <w:fldSimple w:instr=" SEQ Figure \* ARABIC ">
        <w:r w:rsidR="00A34DD3">
          <w:rPr>
            <w:noProof/>
          </w:rPr>
          <w:t>8</w:t>
        </w:r>
      </w:fldSimple>
      <w:r>
        <w:t>. MHSIP differences by division</w:t>
      </w:r>
    </w:p>
    <w:p w:rsidR="003946D3" w:rsidRDefault="00F57DC4" w:rsidP="00632143">
      <w:r>
        <w:rPr>
          <w:noProof/>
        </w:rPr>
        <w:drawing>
          <wp:inline distT="0" distB="0" distL="0" distR="0" wp14:anchorId="670C82B5" wp14:editId="65FF54B6">
            <wp:extent cx="5943600" cy="4485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85640"/>
                    </a:xfrm>
                    <a:prstGeom prst="rect">
                      <a:avLst/>
                    </a:prstGeom>
                    <a:noFill/>
                    <a:ln>
                      <a:noFill/>
                    </a:ln>
                  </pic:spPr>
                </pic:pic>
              </a:graphicData>
            </a:graphic>
          </wp:inline>
        </w:drawing>
      </w:r>
    </w:p>
    <w:p w:rsidR="00912CFA" w:rsidRDefault="00912CFA" w:rsidP="00632143"/>
    <w:p w:rsidR="005B767F" w:rsidRPr="005B767F" w:rsidRDefault="005B767F" w:rsidP="00632143">
      <w:pPr>
        <w:rPr>
          <w:sz w:val="24"/>
          <w:szCs w:val="24"/>
        </w:rPr>
      </w:pPr>
      <w:r>
        <w:rPr>
          <w:sz w:val="24"/>
          <w:szCs w:val="24"/>
        </w:rPr>
        <w:t>There was a significant negative correlation with age for the Functioning and Social Connectedness scales (r = -.14 and -.11, re</w:t>
      </w:r>
      <w:r w:rsidR="00A34DD3">
        <w:rPr>
          <w:sz w:val="24"/>
          <w:szCs w:val="24"/>
        </w:rPr>
        <w:t>spectively). As seen in Figure 9</w:t>
      </w:r>
      <w:r>
        <w:rPr>
          <w:sz w:val="24"/>
          <w:szCs w:val="24"/>
        </w:rPr>
        <w:t>, self-ratings of personal functioning</w:t>
      </w:r>
      <w:r w:rsidR="00A025E5">
        <w:rPr>
          <w:sz w:val="24"/>
          <w:szCs w:val="24"/>
        </w:rPr>
        <w:t xml:space="preserve"> and social connectedness</w:t>
      </w:r>
      <w:r>
        <w:rPr>
          <w:sz w:val="24"/>
          <w:szCs w:val="24"/>
        </w:rPr>
        <w:t xml:space="preserve"> tend to drop after about age 35.</w:t>
      </w:r>
    </w:p>
    <w:p w:rsidR="00A34DD3" w:rsidRDefault="00A34DD3" w:rsidP="00A34DD3">
      <w:pPr>
        <w:pStyle w:val="Caption"/>
        <w:keepNext/>
        <w:jc w:val="center"/>
      </w:pPr>
      <w:r>
        <w:lastRenderedPageBreak/>
        <w:t xml:space="preserve">Figure </w:t>
      </w:r>
      <w:fldSimple w:instr=" SEQ Figure \* ARABIC ">
        <w:r>
          <w:rPr>
            <w:noProof/>
          </w:rPr>
          <w:t>9</w:t>
        </w:r>
      </w:fldSimple>
      <w:r>
        <w:t>. Perception of Functioning and Social Connectedness by age group</w:t>
      </w:r>
    </w:p>
    <w:p w:rsidR="00F20004" w:rsidRDefault="00F20004" w:rsidP="00632143">
      <w:r>
        <w:rPr>
          <w:noProof/>
        </w:rPr>
        <w:drawing>
          <wp:inline distT="0" distB="0" distL="0" distR="0">
            <wp:extent cx="5934710" cy="4304665"/>
            <wp:effectExtent l="0" t="0" r="889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710" cy="4304665"/>
                    </a:xfrm>
                    <a:prstGeom prst="rect">
                      <a:avLst/>
                    </a:prstGeom>
                    <a:noFill/>
                    <a:ln>
                      <a:noFill/>
                    </a:ln>
                  </pic:spPr>
                </pic:pic>
              </a:graphicData>
            </a:graphic>
          </wp:inline>
        </w:drawing>
      </w:r>
    </w:p>
    <w:p w:rsidR="005063EE" w:rsidRDefault="005063EE" w:rsidP="00632143"/>
    <w:p w:rsidR="005063EE" w:rsidRDefault="005063EE">
      <w:r>
        <w:br w:type="page"/>
      </w:r>
    </w:p>
    <w:p w:rsidR="005063EE" w:rsidRDefault="005063EE" w:rsidP="00632143"/>
    <w:p w:rsidR="005063EE" w:rsidRDefault="005063EE" w:rsidP="00632143"/>
    <w:p w:rsidR="005063EE" w:rsidRDefault="005063EE" w:rsidP="005063EE">
      <w:pPr>
        <w:pStyle w:val="Caption"/>
        <w:keepNext/>
        <w:jc w:val="center"/>
      </w:pPr>
      <w:r>
        <w:t xml:space="preserve">Table </w:t>
      </w:r>
      <w:fldSimple w:instr=" SEQ Table \* ARABIC ">
        <w:r>
          <w:rPr>
            <w:noProof/>
          </w:rPr>
          <w:t>1</w:t>
        </w:r>
      </w:fldSimple>
      <w:r>
        <w:t>. MHSIP results by program</w:t>
      </w:r>
    </w:p>
    <w:tbl>
      <w:tblPr>
        <w:tblW w:w="10625" w:type="dxa"/>
        <w:tblLook w:val="04A0" w:firstRow="1" w:lastRow="0" w:firstColumn="1" w:lastColumn="0" w:noHBand="0" w:noVBand="1"/>
      </w:tblPr>
      <w:tblGrid>
        <w:gridCol w:w="2620"/>
        <w:gridCol w:w="820"/>
        <w:gridCol w:w="861"/>
        <w:gridCol w:w="1440"/>
        <w:gridCol w:w="1080"/>
        <w:gridCol w:w="1200"/>
        <w:gridCol w:w="1360"/>
        <w:gridCol w:w="728"/>
        <w:gridCol w:w="516"/>
      </w:tblGrid>
      <w:tr w:rsidR="005063EE" w:rsidRPr="005063EE" w:rsidTr="005063EE">
        <w:trPr>
          <w:trHeight w:val="330"/>
        </w:trPr>
        <w:tc>
          <w:tcPr>
            <w:tcW w:w="2620" w:type="dxa"/>
            <w:tcBorders>
              <w:top w:val="nil"/>
              <w:left w:val="nil"/>
              <w:bottom w:val="nil"/>
              <w:right w:val="nil"/>
            </w:tcBorders>
            <w:shd w:val="clear" w:color="auto" w:fill="auto"/>
            <w:noWrap/>
            <w:vAlign w:val="bottom"/>
            <w:hideMark/>
          </w:tcPr>
          <w:p w:rsidR="005063EE" w:rsidRPr="005063EE" w:rsidRDefault="005063EE" w:rsidP="005063EE">
            <w:pPr>
              <w:rPr>
                <w:sz w:val="24"/>
                <w:szCs w:val="24"/>
              </w:rPr>
            </w:pPr>
          </w:p>
        </w:tc>
        <w:tc>
          <w:tcPr>
            <w:tcW w:w="42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3EE" w:rsidRPr="005063EE" w:rsidRDefault="005063EE" w:rsidP="005063EE">
            <w:pPr>
              <w:jc w:val="center"/>
              <w:rPr>
                <w:color w:val="000000"/>
              </w:rPr>
            </w:pPr>
            <w:r w:rsidRPr="005063EE">
              <w:rPr>
                <w:color w:val="000000"/>
              </w:rPr>
              <w:t>Satisfaction with Services</w:t>
            </w:r>
          </w:p>
        </w:tc>
        <w:tc>
          <w:tcPr>
            <w:tcW w:w="3288" w:type="dxa"/>
            <w:gridSpan w:val="3"/>
            <w:tcBorders>
              <w:top w:val="single" w:sz="4" w:space="0" w:color="auto"/>
              <w:left w:val="nil"/>
              <w:bottom w:val="single" w:sz="4" w:space="0" w:color="auto"/>
              <w:right w:val="single" w:sz="4" w:space="0" w:color="auto"/>
            </w:tcBorders>
            <w:shd w:val="clear" w:color="auto" w:fill="auto"/>
            <w:noWrap/>
            <w:vAlign w:val="bottom"/>
            <w:hideMark/>
          </w:tcPr>
          <w:p w:rsidR="005063EE" w:rsidRPr="005063EE" w:rsidRDefault="005063EE" w:rsidP="005063EE">
            <w:pPr>
              <w:jc w:val="center"/>
              <w:rPr>
                <w:color w:val="000000"/>
              </w:rPr>
            </w:pPr>
            <w:r w:rsidRPr="005063EE">
              <w:rPr>
                <w:color w:val="000000"/>
              </w:rPr>
              <w:t>Functioning</w:t>
            </w:r>
          </w:p>
        </w:tc>
        <w:tc>
          <w:tcPr>
            <w:tcW w:w="516" w:type="dxa"/>
            <w:tcBorders>
              <w:top w:val="nil"/>
              <w:left w:val="nil"/>
              <w:bottom w:val="nil"/>
              <w:right w:val="nil"/>
            </w:tcBorders>
            <w:shd w:val="clear" w:color="auto" w:fill="auto"/>
            <w:noWrap/>
            <w:vAlign w:val="bottom"/>
            <w:hideMark/>
          </w:tcPr>
          <w:p w:rsidR="005063EE" w:rsidRPr="005063EE" w:rsidRDefault="005063EE" w:rsidP="005063EE">
            <w:pPr>
              <w:jc w:val="center"/>
              <w:rPr>
                <w:color w:val="000000"/>
              </w:rPr>
            </w:pPr>
          </w:p>
        </w:tc>
      </w:tr>
      <w:tr w:rsidR="005063EE" w:rsidRPr="005063EE" w:rsidTr="005063EE">
        <w:trPr>
          <w:trHeight w:val="330"/>
        </w:trPr>
        <w:tc>
          <w:tcPr>
            <w:tcW w:w="26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063EE" w:rsidRPr="005063EE" w:rsidRDefault="005063EE" w:rsidP="005063EE">
            <w:pPr>
              <w:rPr>
                <w:b/>
                <w:bCs/>
                <w:color w:val="000000"/>
              </w:rPr>
            </w:pPr>
            <w:r w:rsidRPr="005063EE">
              <w:rPr>
                <w:b/>
                <w:bCs/>
                <w:color w:val="000000"/>
              </w:rPr>
              <w:t>Program</w:t>
            </w:r>
          </w:p>
        </w:tc>
        <w:tc>
          <w:tcPr>
            <w:tcW w:w="820" w:type="dxa"/>
            <w:tcBorders>
              <w:top w:val="nil"/>
              <w:left w:val="nil"/>
              <w:bottom w:val="nil"/>
              <w:right w:val="nil"/>
            </w:tcBorders>
            <w:shd w:val="clear" w:color="auto" w:fill="auto"/>
            <w:vAlign w:val="bottom"/>
            <w:hideMark/>
          </w:tcPr>
          <w:p w:rsidR="005063EE" w:rsidRPr="005063EE" w:rsidRDefault="005063EE" w:rsidP="005063EE">
            <w:pPr>
              <w:jc w:val="center"/>
              <w:rPr>
                <w:b/>
                <w:bCs/>
                <w:color w:val="000000"/>
              </w:rPr>
            </w:pPr>
            <w:r w:rsidRPr="005063EE">
              <w:rPr>
                <w:b/>
                <w:bCs/>
                <w:color w:val="000000"/>
              </w:rPr>
              <w:t xml:space="preserve"> Access</w:t>
            </w:r>
          </w:p>
        </w:tc>
        <w:tc>
          <w:tcPr>
            <w:tcW w:w="861" w:type="dxa"/>
            <w:tcBorders>
              <w:top w:val="nil"/>
              <w:left w:val="nil"/>
              <w:bottom w:val="nil"/>
              <w:right w:val="nil"/>
            </w:tcBorders>
            <w:shd w:val="clear" w:color="auto" w:fill="auto"/>
            <w:vAlign w:val="bottom"/>
            <w:hideMark/>
          </w:tcPr>
          <w:p w:rsidR="005063EE" w:rsidRPr="005063EE" w:rsidRDefault="005063EE" w:rsidP="005063EE">
            <w:pPr>
              <w:jc w:val="center"/>
              <w:rPr>
                <w:b/>
                <w:bCs/>
                <w:color w:val="000000"/>
              </w:rPr>
            </w:pPr>
            <w:r w:rsidRPr="005063EE">
              <w:rPr>
                <w:b/>
                <w:bCs/>
                <w:color w:val="000000"/>
              </w:rPr>
              <w:t xml:space="preserve"> Quality</w:t>
            </w:r>
          </w:p>
        </w:tc>
        <w:tc>
          <w:tcPr>
            <w:tcW w:w="1440" w:type="dxa"/>
            <w:tcBorders>
              <w:top w:val="nil"/>
              <w:left w:val="nil"/>
              <w:bottom w:val="nil"/>
              <w:right w:val="nil"/>
            </w:tcBorders>
            <w:shd w:val="clear" w:color="auto" w:fill="auto"/>
            <w:vAlign w:val="bottom"/>
            <w:hideMark/>
          </w:tcPr>
          <w:p w:rsidR="005063EE" w:rsidRPr="005063EE" w:rsidRDefault="005063EE" w:rsidP="005063EE">
            <w:pPr>
              <w:jc w:val="center"/>
              <w:rPr>
                <w:b/>
                <w:bCs/>
                <w:color w:val="000000"/>
              </w:rPr>
            </w:pPr>
            <w:r w:rsidRPr="005063EE">
              <w:rPr>
                <w:b/>
                <w:bCs/>
                <w:color w:val="000000"/>
              </w:rPr>
              <w:t xml:space="preserve"> Participation</w:t>
            </w:r>
          </w:p>
        </w:tc>
        <w:tc>
          <w:tcPr>
            <w:tcW w:w="1080" w:type="dxa"/>
            <w:tcBorders>
              <w:top w:val="nil"/>
              <w:left w:val="nil"/>
              <w:bottom w:val="nil"/>
              <w:right w:val="nil"/>
            </w:tcBorders>
            <w:shd w:val="clear" w:color="auto" w:fill="auto"/>
            <w:vAlign w:val="bottom"/>
            <w:hideMark/>
          </w:tcPr>
          <w:p w:rsidR="005063EE" w:rsidRPr="005063EE" w:rsidRDefault="005063EE" w:rsidP="005063EE">
            <w:pPr>
              <w:jc w:val="center"/>
              <w:rPr>
                <w:b/>
                <w:bCs/>
                <w:color w:val="000000"/>
              </w:rPr>
            </w:pPr>
            <w:r w:rsidRPr="005063EE">
              <w:rPr>
                <w:b/>
                <w:bCs/>
                <w:color w:val="000000"/>
              </w:rPr>
              <w:t>General</w:t>
            </w:r>
          </w:p>
        </w:tc>
        <w:tc>
          <w:tcPr>
            <w:tcW w:w="1200" w:type="dxa"/>
            <w:tcBorders>
              <w:top w:val="nil"/>
              <w:left w:val="nil"/>
              <w:bottom w:val="nil"/>
              <w:right w:val="nil"/>
            </w:tcBorders>
            <w:shd w:val="clear" w:color="auto" w:fill="auto"/>
            <w:vAlign w:val="bottom"/>
            <w:hideMark/>
          </w:tcPr>
          <w:p w:rsidR="005063EE" w:rsidRPr="005063EE" w:rsidRDefault="005063EE" w:rsidP="005063EE">
            <w:pPr>
              <w:jc w:val="center"/>
              <w:rPr>
                <w:b/>
                <w:bCs/>
                <w:color w:val="000000"/>
              </w:rPr>
            </w:pPr>
            <w:r w:rsidRPr="005063EE">
              <w:rPr>
                <w:b/>
                <w:bCs/>
                <w:color w:val="000000"/>
              </w:rPr>
              <w:t xml:space="preserve"> Outcomes </w:t>
            </w:r>
          </w:p>
        </w:tc>
        <w:tc>
          <w:tcPr>
            <w:tcW w:w="1360" w:type="dxa"/>
            <w:tcBorders>
              <w:top w:val="nil"/>
              <w:left w:val="nil"/>
              <w:bottom w:val="nil"/>
              <w:right w:val="nil"/>
            </w:tcBorders>
            <w:shd w:val="clear" w:color="auto" w:fill="auto"/>
            <w:vAlign w:val="bottom"/>
            <w:hideMark/>
          </w:tcPr>
          <w:p w:rsidR="005063EE" w:rsidRPr="005063EE" w:rsidRDefault="005063EE" w:rsidP="005063EE">
            <w:pPr>
              <w:jc w:val="center"/>
              <w:rPr>
                <w:b/>
                <w:bCs/>
                <w:color w:val="000000"/>
              </w:rPr>
            </w:pPr>
            <w:r w:rsidRPr="005063EE">
              <w:rPr>
                <w:b/>
                <w:bCs/>
                <w:color w:val="000000"/>
              </w:rPr>
              <w:t xml:space="preserve"> Functioning</w:t>
            </w:r>
          </w:p>
        </w:tc>
        <w:tc>
          <w:tcPr>
            <w:tcW w:w="728" w:type="dxa"/>
            <w:tcBorders>
              <w:top w:val="nil"/>
              <w:left w:val="nil"/>
              <w:bottom w:val="nil"/>
              <w:right w:val="nil"/>
            </w:tcBorders>
            <w:shd w:val="clear" w:color="auto" w:fill="auto"/>
            <w:vAlign w:val="bottom"/>
            <w:hideMark/>
          </w:tcPr>
          <w:p w:rsidR="005063EE" w:rsidRPr="005063EE" w:rsidRDefault="005063EE" w:rsidP="005063EE">
            <w:pPr>
              <w:jc w:val="center"/>
              <w:rPr>
                <w:b/>
                <w:bCs/>
                <w:color w:val="000000"/>
              </w:rPr>
            </w:pPr>
            <w:r w:rsidRPr="005063EE">
              <w:rPr>
                <w:b/>
                <w:bCs/>
                <w:color w:val="000000"/>
              </w:rPr>
              <w:t xml:space="preserve"> Social</w:t>
            </w:r>
          </w:p>
        </w:tc>
        <w:tc>
          <w:tcPr>
            <w:tcW w:w="516" w:type="dxa"/>
            <w:tcBorders>
              <w:top w:val="nil"/>
              <w:left w:val="nil"/>
              <w:bottom w:val="nil"/>
              <w:right w:val="nil"/>
            </w:tcBorders>
            <w:shd w:val="clear" w:color="auto" w:fill="auto"/>
            <w:vAlign w:val="bottom"/>
            <w:hideMark/>
          </w:tcPr>
          <w:p w:rsidR="005063EE" w:rsidRPr="005063EE" w:rsidRDefault="005063EE" w:rsidP="005063EE">
            <w:pPr>
              <w:jc w:val="center"/>
              <w:rPr>
                <w:b/>
                <w:bCs/>
                <w:color w:val="000000"/>
              </w:rPr>
            </w:pPr>
            <w:r w:rsidRPr="005063EE">
              <w:rPr>
                <w:b/>
                <w:bCs/>
                <w:color w:val="000000"/>
              </w:rPr>
              <w:t>N</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Perinatal, Santa Ana</w:t>
            </w:r>
          </w:p>
        </w:tc>
        <w:tc>
          <w:tcPr>
            <w:tcW w:w="820" w:type="dxa"/>
            <w:tcBorders>
              <w:top w:val="single" w:sz="8" w:space="0" w:color="000000"/>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861" w:type="dxa"/>
            <w:tcBorders>
              <w:top w:val="single" w:sz="8" w:space="0" w:color="000000"/>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440" w:type="dxa"/>
            <w:tcBorders>
              <w:top w:val="single" w:sz="8" w:space="0" w:color="000000"/>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080" w:type="dxa"/>
            <w:tcBorders>
              <w:top w:val="single" w:sz="8" w:space="0" w:color="000000"/>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single" w:sz="8" w:space="0" w:color="000000"/>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360" w:type="dxa"/>
            <w:tcBorders>
              <w:top w:val="single" w:sz="8" w:space="0" w:color="000000"/>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728" w:type="dxa"/>
            <w:tcBorders>
              <w:top w:val="single" w:sz="8" w:space="0" w:color="000000"/>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3</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Aliso Viejo Drug Court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11</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AOD Aliso Viejo</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3</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AOD Anaheim Clinic</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17</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AOD Westminster</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8</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AOD, Santa Ana</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3</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Perinatal, Aliso Viejo</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13</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Perinatal, Anaheim</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11</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ADAS Perinatal, Westminster</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18</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 xml:space="preserve">Anaheim N. DUI </w:t>
            </w:r>
            <w:proofErr w:type="spellStart"/>
            <w:r w:rsidRPr="005063EE">
              <w:rPr>
                <w:color w:val="000000"/>
              </w:rPr>
              <w:t>Cout</w:t>
            </w:r>
            <w:proofErr w:type="spellEnd"/>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8</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AB109</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5</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Aliso Viejo Clinic</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20</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Costa Mesa PACT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Fullerton PACT - I</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3.2</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2.8</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2.9</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3</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Fullerton PACT - II</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7</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PACT TAY</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PACT TSR</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10</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Santa Ana</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r>
      <w:tr w:rsidR="005063EE" w:rsidRPr="005063EE" w:rsidTr="005063EE">
        <w:trPr>
          <w:trHeight w:val="510"/>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Santa Ana  Pac Asian</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3.3</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8</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Westminster Clinic</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3.2</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12</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Westminster PACT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3</w:t>
            </w:r>
          </w:p>
        </w:tc>
      </w:tr>
      <w:tr w:rsidR="005063EE" w:rsidRPr="005063EE" w:rsidTr="005063EE">
        <w:trPr>
          <w:trHeight w:val="510"/>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 Westminster, Pac Asian</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AOABH-Anaheim I</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16</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AOABH-Anaheim II</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3.2</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3.3</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20</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AOABH-Anaheim PACT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4</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Camino Nuevo</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17</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 xml:space="preserve">CCS </w:t>
            </w:r>
            <w:proofErr w:type="spellStart"/>
            <w:r w:rsidRPr="005063EE">
              <w:rPr>
                <w:color w:val="000000"/>
              </w:rPr>
              <w:t>CalWORKS</w:t>
            </w:r>
            <w:proofErr w:type="spellEnd"/>
            <w:r w:rsidRPr="005063EE">
              <w:rPr>
                <w:color w:val="000000"/>
              </w:rPr>
              <w:t xml:space="preserve"> Anaheim</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28</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CCS CalWORKs Santa Ana</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3.5</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13</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CCS CalWORKs Westminster</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22</w:t>
            </w:r>
          </w:p>
        </w:tc>
      </w:tr>
      <w:tr w:rsidR="005063EE" w:rsidRPr="005063EE" w:rsidTr="005063EE">
        <w:trPr>
          <w:trHeight w:val="76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Collective Solutions:  A Family-Focused Crisis Management Program</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10</w:t>
            </w:r>
          </w:p>
        </w:tc>
      </w:tr>
      <w:tr w:rsidR="005063EE" w:rsidRPr="005063EE" w:rsidTr="005063EE">
        <w:trPr>
          <w:trHeight w:val="510"/>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College Community Services, Opportunity Knocks</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20</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lastRenderedPageBreak/>
              <w:t>Drug/DUI/DV Court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19</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Harbor Drug Court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9</w:t>
            </w:r>
          </w:p>
        </w:tc>
      </w:tr>
      <w:tr w:rsidR="005063EE" w:rsidRPr="005063EE" w:rsidTr="005063EE">
        <w:trPr>
          <w:trHeight w:val="510"/>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ICS- Central City Community Health Center</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3.2</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5</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ICS-Southland Health Center</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3.0</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5.0</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2.8</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w:t>
            </w:r>
          </w:p>
        </w:tc>
      </w:tr>
      <w:tr w:rsidR="005063EE" w:rsidRPr="005063EE" w:rsidTr="005063EE">
        <w:trPr>
          <w:trHeight w:val="510"/>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Integrated Community Services-County Home</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3.7</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16</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North Drug Court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16</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North Recovery Center</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4</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OC ACCEPT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4.9</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12</w:t>
            </w:r>
          </w:p>
        </w:tc>
      </w:tr>
      <w:tr w:rsidR="005063EE" w:rsidRPr="005063EE" w:rsidTr="005063EE">
        <w:trPr>
          <w:trHeight w:val="510"/>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Older Adult Support and Intervention System (OASIS)</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27</w:t>
            </w:r>
          </w:p>
        </w:tc>
      </w:tr>
      <w:tr w:rsidR="005063EE" w:rsidRPr="005063EE" w:rsidTr="005063EE">
        <w:trPr>
          <w:trHeight w:val="76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Orange County Center for Resiliency, Education &amp; Wellness(OC CREW)</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4</w:t>
            </w:r>
          </w:p>
        </w:tc>
      </w:tr>
      <w:tr w:rsidR="005063EE" w:rsidRPr="005063EE" w:rsidTr="005063EE">
        <w:trPr>
          <w:trHeight w:val="510"/>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Orange County Postpartum Wellness (OCPPW)</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Project Life Coach</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7</w:t>
            </w:r>
          </w:p>
        </w:tc>
      </w:tr>
      <w:tr w:rsidR="005063EE" w:rsidRPr="005063EE" w:rsidTr="005063EE">
        <w:trPr>
          <w:trHeight w:val="510"/>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Telecare and Orange (TAO-South)</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3.9</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3.8</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70</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Telecare and Orange (TAO)</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3.6</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101</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Telecare STEPS</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4.4</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4.2</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57</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Volunteer to Work</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4.3</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4.0</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4.1</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6</w:t>
            </w:r>
          </w:p>
        </w:tc>
      </w:tr>
      <w:tr w:rsidR="005063EE" w:rsidRPr="005063EE" w:rsidTr="005063EE">
        <w:trPr>
          <w:trHeight w:val="315"/>
        </w:trPr>
        <w:tc>
          <w:tcPr>
            <w:tcW w:w="2620" w:type="dxa"/>
            <w:tcBorders>
              <w:top w:val="nil"/>
              <w:left w:val="single" w:sz="8" w:space="0" w:color="000000"/>
              <w:bottom w:val="nil"/>
              <w:right w:val="single" w:sz="8" w:space="0" w:color="000000"/>
            </w:tcBorders>
            <w:shd w:val="clear" w:color="auto" w:fill="auto"/>
            <w:vAlign w:val="center"/>
            <w:hideMark/>
          </w:tcPr>
          <w:p w:rsidR="005063EE" w:rsidRPr="005063EE" w:rsidRDefault="005063EE" w:rsidP="005063EE">
            <w:pPr>
              <w:rPr>
                <w:color w:val="000000"/>
              </w:rPr>
            </w:pPr>
            <w:r w:rsidRPr="005063EE">
              <w:rPr>
                <w:color w:val="000000"/>
              </w:rPr>
              <w:t>West Drug Court</w:t>
            </w:r>
          </w:p>
        </w:tc>
        <w:tc>
          <w:tcPr>
            <w:tcW w:w="82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861"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144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4.6</w:t>
            </w:r>
          </w:p>
        </w:tc>
        <w:tc>
          <w:tcPr>
            <w:tcW w:w="108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4.8</w:t>
            </w:r>
          </w:p>
        </w:tc>
        <w:tc>
          <w:tcPr>
            <w:tcW w:w="120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1360" w:type="dxa"/>
            <w:tcBorders>
              <w:top w:val="nil"/>
              <w:left w:val="nil"/>
              <w:bottom w:val="nil"/>
              <w:right w:val="single" w:sz="4"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4.7</w:t>
            </w:r>
          </w:p>
        </w:tc>
        <w:tc>
          <w:tcPr>
            <w:tcW w:w="728" w:type="dxa"/>
            <w:tcBorders>
              <w:top w:val="nil"/>
              <w:left w:val="nil"/>
              <w:bottom w:val="nil"/>
              <w:right w:val="single" w:sz="8" w:space="0" w:color="000000"/>
            </w:tcBorders>
            <w:shd w:val="clear" w:color="auto" w:fill="auto"/>
            <w:noWrap/>
            <w:vAlign w:val="center"/>
            <w:hideMark/>
          </w:tcPr>
          <w:p w:rsidR="005063EE" w:rsidRPr="005063EE" w:rsidRDefault="005063EE" w:rsidP="005063EE">
            <w:pPr>
              <w:jc w:val="center"/>
              <w:rPr>
                <w:color w:val="000000"/>
              </w:rPr>
            </w:pPr>
            <w:r w:rsidRPr="005063EE">
              <w:rPr>
                <w:color w:val="000000"/>
              </w:rPr>
              <w:t>4.5</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color w:val="000000"/>
              </w:rPr>
            </w:pPr>
            <w:r w:rsidRPr="005063EE">
              <w:rPr>
                <w:color w:val="000000"/>
              </w:rPr>
              <w:t>7</w:t>
            </w:r>
          </w:p>
        </w:tc>
      </w:tr>
      <w:tr w:rsidR="005063EE" w:rsidRPr="005063EE" w:rsidTr="005063EE">
        <w:trPr>
          <w:trHeight w:val="330"/>
        </w:trPr>
        <w:tc>
          <w:tcPr>
            <w:tcW w:w="2620" w:type="dxa"/>
            <w:tcBorders>
              <w:top w:val="nil"/>
              <w:left w:val="single" w:sz="8" w:space="0" w:color="000000"/>
              <w:bottom w:val="single" w:sz="8" w:space="0" w:color="000000"/>
              <w:right w:val="single" w:sz="8" w:space="0" w:color="000000"/>
            </w:tcBorders>
            <w:shd w:val="clear" w:color="auto" w:fill="auto"/>
            <w:vAlign w:val="center"/>
            <w:hideMark/>
          </w:tcPr>
          <w:p w:rsidR="005063EE" w:rsidRPr="005063EE" w:rsidRDefault="005063EE" w:rsidP="005063EE">
            <w:pPr>
              <w:rPr>
                <w:b/>
                <w:bCs/>
                <w:color w:val="000000"/>
              </w:rPr>
            </w:pPr>
            <w:r w:rsidRPr="005063EE">
              <w:rPr>
                <w:b/>
                <w:bCs/>
                <w:color w:val="000000"/>
              </w:rPr>
              <w:t>Total</w:t>
            </w:r>
          </w:p>
        </w:tc>
        <w:tc>
          <w:tcPr>
            <w:tcW w:w="820" w:type="dxa"/>
            <w:tcBorders>
              <w:top w:val="nil"/>
              <w:left w:val="nil"/>
              <w:bottom w:val="single" w:sz="8" w:space="0" w:color="000000"/>
              <w:right w:val="single" w:sz="4" w:space="0" w:color="000000"/>
            </w:tcBorders>
            <w:shd w:val="clear" w:color="auto" w:fill="auto"/>
            <w:noWrap/>
            <w:vAlign w:val="center"/>
            <w:hideMark/>
          </w:tcPr>
          <w:p w:rsidR="005063EE" w:rsidRPr="005063EE" w:rsidRDefault="005063EE" w:rsidP="005063EE">
            <w:pPr>
              <w:jc w:val="center"/>
              <w:rPr>
                <w:b/>
                <w:bCs/>
                <w:color w:val="000000"/>
              </w:rPr>
            </w:pPr>
            <w:r w:rsidRPr="005063EE">
              <w:rPr>
                <w:b/>
                <w:bCs/>
                <w:color w:val="000000"/>
              </w:rPr>
              <w:t>4.3</w:t>
            </w:r>
          </w:p>
        </w:tc>
        <w:tc>
          <w:tcPr>
            <w:tcW w:w="861" w:type="dxa"/>
            <w:tcBorders>
              <w:top w:val="nil"/>
              <w:left w:val="nil"/>
              <w:bottom w:val="single" w:sz="8" w:space="0" w:color="000000"/>
              <w:right w:val="single" w:sz="4" w:space="0" w:color="000000"/>
            </w:tcBorders>
            <w:shd w:val="clear" w:color="auto" w:fill="auto"/>
            <w:noWrap/>
            <w:vAlign w:val="center"/>
            <w:hideMark/>
          </w:tcPr>
          <w:p w:rsidR="005063EE" w:rsidRPr="005063EE" w:rsidRDefault="005063EE" w:rsidP="005063EE">
            <w:pPr>
              <w:jc w:val="center"/>
              <w:rPr>
                <w:b/>
                <w:bCs/>
                <w:color w:val="000000"/>
              </w:rPr>
            </w:pPr>
            <w:r w:rsidRPr="005063EE">
              <w:rPr>
                <w:b/>
                <w:bCs/>
                <w:color w:val="000000"/>
              </w:rPr>
              <w:t>4.3</w:t>
            </w:r>
          </w:p>
        </w:tc>
        <w:tc>
          <w:tcPr>
            <w:tcW w:w="1440" w:type="dxa"/>
            <w:tcBorders>
              <w:top w:val="nil"/>
              <w:left w:val="nil"/>
              <w:bottom w:val="single" w:sz="8" w:space="0" w:color="000000"/>
              <w:right w:val="single" w:sz="4" w:space="0" w:color="000000"/>
            </w:tcBorders>
            <w:shd w:val="clear" w:color="auto" w:fill="auto"/>
            <w:noWrap/>
            <w:vAlign w:val="center"/>
            <w:hideMark/>
          </w:tcPr>
          <w:p w:rsidR="005063EE" w:rsidRPr="005063EE" w:rsidRDefault="005063EE" w:rsidP="005063EE">
            <w:pPr>
              <w:jc w:val="center"/>
              <w:rPr>
                <w:b/>
                <w:bCs/>
                <w:color w:val="000000"/>
              </w:rPr>
            </w:pPr>
            <w:r w:rsidRPr="005063EE">
              <w:rPr>
                <w:b/>
                <w:bCs/>
                <w:color w:val="000000"/>
              </w:rPr>
              <w:t>4.2</w:t>
            </w:r>
          </w:p>
        </w:tc>
        <w:tc>
          <w:tcPr>
            <w:tcW w:w="1080" w:type="dxa"/>
            <w:tcBorders>
              <w:top w:val="nil"/>
              <w:left w:val="nil"/>
              <w:bottom w:val="single" w:sz="8" w:space="0" w:color="000000"/>
              <w:right w:val="single" w:sz="4" w:space="0" w:color="000000"/>
            </w:tcBorders>
            <w:shd w:val="clear" w:color="auto" w:fill="auto"/>
            <w:noWrap/>
            <w:vAlign w:val="center"/>
            <w:hideMark/>
          </w:tcPr>
          <w:p w:rsidR="005063EE" w:rsidRPr="005063EE" w:rsidRDefault="005063EE" w:rsidP="005063EE">
            <w:pPr>
              <w:jc w:val="center"/>
              <w:rPr>
                <w:b/>
                <w:bCs/>
                <w:color w:val="000000"/>
              </w:rPr>
            </w:pPr>
            <w:r w:rsidRPr="005063EE">
              <w:rPr>
                <w:b/>
                <w:bCs/>
                <w:color w:val="000000"/>
              </w:rPr>
              <w:t>4.4</w:t>
            </w:r>
          </w:p>
        </w:tc>
        <w:tc>
          <w:tcPr>
            <w:tcW w:w="1200" w:type="dxa"/>
            <w:tcBorders>
              <w:top w:val="nil"/>
              <w:left w:val="nil"/>
              <w:bottom w:val="single" w:sz="8" w:space="0" w:color="000000"/>
              <w:right w:val="single" w:sz="4" w:space="0" w:color="000000"/>
            </w:tcBorders>
            <w:shd w:val="clear" w:color="auto" w:fill="auto"/>
            <w:noWrap/>
            <w:vAlign w:val="center"/>
            <w:hideMark/>
          </w:tcPr>
          <w:p w:rsidR="005063EE" w:rsidRPr="005063EE" w:rsidRDefault="005063EE" w:rsidP="005063EE">
            <w:pPr>
              <w:jc w:val="center"/>
              <w:rPr>
                <w:b/>
                <w:bCs/>
                <w:color w:val="000000"/>
              </w:rPr>
            </w:pPr>
            <w:r w:rsidRPr="005063EE">
              <w:rPr>
                <w:b/>
                <w:bCs/>
                <w:color w:val="000000"/>
              </w:rPr>
              <w:t>3.9</w:t>
            </w:r>
          </w:p>
        </w:tc>
        <w:tc>
          <w:tcPr>
            <w:tcW w:w="1360" w:type="dxa"/>
            <w:tcBorders>
              <w:top w:val="nil"/>
              <w:left w:val="nil"/>
              <w:bottom w:val="single" w:sz="8" w:space="0" w:color="000000"/>
              <w:right w:val="single" w:sz="4" w:space="0" w:color="000000"/>
            </w:tcBorders>
            <w:shd w:val="clear" w:color="auto" w:fill="auto"/>
            <w:noWrap/>
            <w:vAlign w:val="center"/>
            <w:hideMark/>
          </w:tcPr>
          <w:p w:rsidR="005063EE" w:rsidRPr="005063EE" w:rsidRDefault="005063EE" w:rsidP="005063EE">
            <w:pPr>
              <w:jc w:val="center"/>
              <w:rPr>
                <w:b/>
                <w:bCs/>
                <w:color w:val="000000"/>
              </w:rPr>
            </w:pPr>
            <w:r w:rsidRPr="005063EE">
              <w:rPr>
                <w:b/>
                <w:bCs/>
                <w:color w:val="000000"/>
              </w:rPr>
              <w:t>3.9</w:t>
            </w:r>
          </w:p>
        </w:tc>
        <w:tc>
          <w:tcPr>
            <w:tcW w:w="728" w:type="dxa"/>
            <w:tcBorders>
              <w:top w:val="nil"/>
              <w:left w:val="nil"/>
              <w:bottom w:val="single" w:sz="8" w:space="0" w:color="000000"/>
              <w:right w:val="single" w:sz="8" w:space="0" w:color="000000"/>
            </w:tcBorders>
            <w:shd w:val="clear" w:color="auto" w:fill="auto"/>
            <w:noWrap/>
            <w:vAlign w:val="center"/>
            <w:hideMark/>
          </w:tcPr>
          <w:p w:rsidR="005063EE" w:rsidRPr="005063EE" w:rsidRDefault="005063EE" w:rsidP="005063EE">
            <w:pPr>
              <w:jc w:val="center"/>
              <w:rPr>
                <w:b/>
                <w:bCs/>
                <w:color w:val="000000"/>
              </w:rPr>
            </w:pPr>
            <w:r w:rsidRPr="005063EE">
              <w:rPr>
                <w:b/>
                <w:bCs/>
                <w:color w:val="000000"/>
              </w:rPr>
              <w:t>3.9</w:t>
            </w:r>
          </w:p>
        </w:tc>
        <w:tc>
          <w:tcPr>
            <w:tcW w:w="516" w:type="dxa"/>
            <w:tcBorders>
              <w:top w:val="nil"/>
              <w:left w:val="nil"/>
              <w:bottom w:val="nil"/>
              <w:right w:val="nil"/>
            </w:tcBorders>
            <w:shd w:val="clear" w:color="auto" w:fill="auto"/>
            <w:noWrap/>
            <w:vAlign w:val="center"/>
            <w:hideMark/>
          </w:tcPr>
          <w:p w:rsidR="005063EE" w:rsidRPr="005063EE" w:rsidRDefault="005063EE" w:rsidP="005063EE">
            <w:pPr>
              <w:jc w:val="center"/>
              <w:rPr>
                <w:b/>
                <w:bCs/>
                <w:color w:val="000000"/>
              </w:rPr>
            </w:pPr>
            <w:r w:rsidRPr="005063EE">
              <w:rPr>
                <w:b/>
                <w:bCs/>
                <w:color w:val="000000"/>
              </w:rPr>
              <w:t>790</w:t>
            </w:r>
          </w:p>
        </w:tc>
      </w:tr>
    </w:tbl>
    <w:p w:rsidR="005063EE" w:rsidRPr="00632143" w:rsidRDefault="005063EE" w:rsidP="00632143"/>
    <w:sectPr w:rsidR="005063EE" w:rsidRPr="00632143" w:rsidSect="000F7E6F">
      <w:headerReference w:type="default" r:id="rId17"/>
      <w:footerReference w:type="even" r:id="rId18"/>
      <w:headerReference w:type="first" r:id="rId19"/>
      <w:pgSz w:w="12240" w:h="15840" w:code="1"/>
      <w:pgMar w:top="1152" w:right="1440" w:bottom="1440" w:left="1440" w:header="446" w:footer="720" w:gutter="0"/>
      <w:pgNumType w:fmt="upperLetter"/>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D8" w:rsidRDefault="006D0AD8">
      <w:r>
        <w:separator/>
      </w:r>
    </w:p>
  </w:endnote>
  <w:endnote w:type="continuationSeparator" w:id="0">
    <w:p w:rsidR="006D0AD8" w:rsidRDefault="006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D8" w:rsidRDefault="006D0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AD8" w:rsidRDefault="006D0A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D8" w:rsidRDefault="006D0AD8">
      <w:r>
        <w:separator/>
      </w:r>
    </w:p>
  </w:footnote>
  <w:footnote w:type="continuationSeparator" w:id="0">
    <w:p w:rsidR="006D0AD8" w:rsidRDefault="006D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D8" w:rsidRDefault="006D0AD8">
    <w:pPr>
      <w:rPr>
        <w:sz w:val="24"/>
      </w:rPr>
    </w:pPr>
  </w:p>
  <w:p w:rsidR="006D0AD8" w:rsidRDefault="006D0AD8">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6D0AD8" w:rsidTr="00D101BA">
      <w:trPr>
        <w:cantSplit/>
        <w:trHeight w:val="2250"/>
        <w:jc w:val="center"/>
      </w:trPr>
      <w:tc>
        <w:tcPr>
          <w:tcW w:w="7559" w:type="dxa"/>
        </w:tcPr>
        <w:p w:rsidR="006D0AD8" w:rsidRPr="00B15929" w:rsidRDefault="006D0AD8" w:rsidP="00B15929">
          <w:pPr>
            <w:pStyle w:val="Heading2"/>
            <w:tabs>
              <w:tab w:val="center" w:pos="5067"/>
            </w:tabs>
            <w:ind w:right="-366"/>
            <w:rPr>
              <w:rFonts w:ascii="Arial" w:hAnsi="Arial"/>
              <w:sz w:val="16"/>
              <w:szCs w:val="16"/>
            </w:rPr>
          </w:pPr>
        </w:p>
        <w:p w:rsidR="006D0AD8" w:rsidRDefault="006D0AD8" w:rsidP="0027097B">
          <w:pPr>
            <w:pStyle w:val="Heading2"/>
            <w:tabs>
              <w:tab w:val="center" w:pos="5067"/>
            </w:tabs>
            <w:ind w:right="-366"/>
            <w:jc w:val="left"/>
            <w:rPr>
              <w:rFonts w:ascii="Arial" w:hAnsi="Arial"/>
            </w:rPr>
          </w:pPr>
          <w:r>
            <w:rPr>
              <w:noProof/>
            </w:rPr>
            <w:drawing>
              <wp:anchor distT="0" distB="0" distL="114300" distR="114300" simplePos="0" relativeHeight="251657728" behindDoc="0" locked="0" layoutInCell="1" allowOverlap="1">
                <wp:simplePos x="0" y="0"/>
                <wp:positionH relativeFrom="column">
                  <wp:posOffset>1148715</wp:posOffset>
                </wp:positionH>
                <wp:positionV relativeFrom="paragraph">
                  <wp:posOffset>40005</wp:posOffset>
                </wp:positionV>
                <wp:extent cx="3014980" cy="1055370"/>
                <wp:effectExtent l="0" t="0" r="0" b="0"/>
                <wp:wrapNone/>
                <wp:docPr id="8" name="Picture 8" descr="HC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CA Rect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498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inline distT="0" distB="0" distL="0" distR="0">
                <wp:extent cx="1138555" cy="1138555"/>
                <wp:effectExtent l="0" t="0" r="4445" b="4445"/>
                <wp:docPr id="1" name="Picture 1" descr="count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a:noFill/>
                        </a:ln>
                      </pic:spPr>
                    </pic:pic>
                  </a:graphicData>
                </a:graphic>
              </wp:inline>
            </w:drawing>
          </w:r>
          <w:r>
            <w:rPr>
              <w:rFonts w:ascii="Arial" w:hAnsi="Arial"/>
            </w:rPr>
            <w:tab/>
          </w:r>
        </w:p>
        <w:p w:rsidR="006D0AD8" w:rsidRDefault="006D0AD8" w:rsidP="00965660">
          <w:pPr>
            <w:pStyle w:val="Heading2"/>
            <w:tabs>
              <w:tab w:val="center" w:pos="4609"/>
            </w:tabs>
            <w:ind w:right="-366"/>
            <w:jc w:val="left"/>
            <w:rPr>
              <w:rFonts w:ascii="Arial" w:hAnsi="Arial" w:cs="Arial"/>
              <w:smallCaps/>
              <w:sz w:val="32"/>
            </w:rPr>
          </w:pPr>
          <w:r>
            <w:rPr>
              <w:rFonts w:ascii="Arial" w:hAnsi="Arial"/>
            </w:rPr>
            <w:tab/>
          </w:r>
          <w:r>
            <w:rPr>
              <w:rFonts w:ascii="Arial" w:hAnsi="Arial" w:cs="Arial"/>
              <w:smallCaps/>
              <w:sz w:val="32"/>
            </w:rPr>
            <w:t>Behavioral Health Services</w:t>
          </w:r>
        </w:p>
        <w:p w:rsidR="006D0AD8" w:rsidRPr="00525950" w:rsidRDefault="006D0AD8" w:rsidP="00965660">
          <w:pPr>
            <w:pStyle w:val="Heading2"/>
            <w:tabs>
              <w:tab w:val="center" w:pos="4609"/>
            </w:tabs>
            <w:ind w:right="-366"/>
            <w:rPr>
              <w:rFonts w:ascii="Arial" w:hAnsi="Arial" w:cs="Arial"/>
              <w:smallCaps/>
              <w:sz w:val="24"/>
              <w:szCs w:val="24"/>
            </w:rPr>
          </w:pPr>
          <w:r>
            <w:rPr>
              <w:rFonts w:ascii="Arial" w:hAnsi="Arial" w:cs="Arial"/>
              <w:smallCaps/>
              <w:sz w:val="32"/>
            </w:rPr>
            <w:t xml:space="preserve">                    </w:t>
          </w:r>
          <w:r w:rsidRPr="00525950">
            <w:rPr>
              <w:rFonts w:ascii="Arial" w:hAnsi="Arial" w:cs="Arial"/>
              <w:smallCaps/>
              <w:sz w:val="24"/>
              <w:szCs w:val="24"/>
            </w:rPr>
            <w:t>Authority &amp; Quality Improvement Services</w:t>
          </w:r>
        </w:p>
        <w:p w:rsidR="006D0AD8" w:rsidRPr="00965660" w:rsidRDefault="006D0AD8" w:rsidP="00965660"/>
      </w:tc>
      <w:tc>
        <w:tcPr>
          <w:tcW w:w="3078" w:type="dxa"/>
        </w:tcPr>
        <w:p w:rsidR="006D0AD8" w:rsidRPr="00B15929" w:rsidRDefault="006D0AD8">
          <w:pPr>
            <w:jc w:val="right"/>
            <w:rPr>
              <w:rFonts w:ascii="Arial" w:hAnsi="Arial" w:cs="Arial"/>
              <w:b/>
              <w:sz w:val="16"/>
              <w:szCs w:val="16"/>
            </w:rPr>
          </w:pPr>
        </w:p>
        <w:p w:rsidR="006D0AD8" w:rsidRDefault="006D0AD8" w:rsidP="00DE021C">
          <w:pPr>
            <w:ind w:right="12"/>
            <w:jc w:val="right"/>
            <w:rPr>
              <w:rFonts w:ascii="Arial" w:hAnsi="Arial"/>
              <w:b/>
              <w:sz w:val="16"/>
              <w:szCs w:val="16"/>
            </w:rPr>
          </w:pPr>
          <w:r>
            <w:rPr>
              <w:rFonts w:ascii="Arial" w:hAnsi="Arial"/>
              <w:b/>
              <w:sz w:val="16"/>
              <w:szCs w:val="16"/>
            </w:rPr>
            <w:t>MARK A. REFOWITZ</w:t>
          </w:r>
        </w:p>
        <w:p w:rsidR="006D0AD8" w:rsidRPr="00965660" w:rsidRDefault="006D0AD8" w:rsidP="00DE021C">
          <w:pPr>
            <w:ind w:right="12"/>
            <w:jc w:val="right"/>
            <w:rPr>
              <w:rFonts w:ascii="Arial" w:hAnsi="Arial"/>
              <w:sz w:val="16"/>
              <w:szCs w:val="16"/>
            </w:rPr>
          </w:pPr>
          <w:r w:rsidRPr="00965660">
            <w:rPr>
              <w:rFonts w:ascii="Arial" w:hAnsi="Arial"/>
              <w:sz w:val="16"/>
              <w:szCs w:val="16"/>
            </w:rPr>
            <w:t>DIRECTOR</w:t>
          </w:r>
        </w:p>
        <w:p w:rsidR="006D0AD8" w:rsidRDefault="006D0AD8" w:rsidP="00DE021C">
          <w:pPr>
            <w:jc w:val="right"/>
            <w:rPr>
              <w:rFonts w:ascii="Arial" w:hAnsi="Arial"/>
              <w:b/>
              <w:sz w:val="16"/>
            </w:rPr>
          </w:pPr>
        </w:p>
        <w:p w:rsidR="006D0AD8" w:rsidRPr="00D95811" w:rsidRDefault="006D0AD8" w:rsidP="0048752E">
          <w:pPr>
            <w:jc w:val="right"/>
            <w:rPr>
              <w:rFonts w:ascii="Arial" w:hAnsi="Arial" w:cs="Arial"/>
              <w:b/>
              <w:bCs/>
              <w:sz w:val="16"/>
            </w:rPr>
          </w:pPr>
          <w:r w:rsidRPr="00D95811">
            <w:rPr>
              <w:rFonts w:ascii="Arial" w:hAnsi="Arial" w:cs="Arial"/>
              <w:b/>
              <w:bCs/>
              <w:sz w:val="16"/>
            </w:rPr>
            <w:t>RICHARD SANCHEZ</w:t>
          </w:r>
        </w:p>
        <w:p w:rsidR="006D0AD8" w:rsidRPr="00D95811" w:rsidRDefault="006D0AD8" w:rsidP="00DE021C">
          <w:pPr>
            <w:jc w:val="right"/>
            <w:rPr>
              <w:rFonts w:ascii="Arial" w:hAnsi="Arial" w:cs="Arial"/>
              <w:sz w:val="14"/>
            </w:rPr>
          </w:pPr>
          <w:r w:rsidRPr="00D95811">
            <w:rPr>
              <w:rFonts w:ascii="Arial" w:hAnsi="Arial" w:cs="Arial"/>
              <w:sz w:val="16"/>
            </w:rPr>
            <w:t xml:space="preserve"> ASSISTANT DIRECTOR</w:t>
          </w:r>
        </w:p>
        <w:p w:rsidR="006D0AD8" w:rsidRDefault="006D0AD8" w:rsidP="00814D00">
          <w:pPr>
            <w:jc w:val="right"/>
            <w:rPr>
              <w:rFonts w:ascii="Arial" w:hAnsi="Arial"/>
              <w:b/>
              <w:sz w:val="16"/>
            </w:rPr>
          </w:pPr>
        </w:p>
        <w:p w:rsidR="006D0AD8" w:rsidRDefault="006D0AD8" w:rsidP="00814D00">
          <w:pPr>
            <w:jc w:val="right"/>
            <w:rPr>
              <w:rFonts w:ascii="Arial" w:hAnsi="Arial"/>
              <w:b/>
              <w:sz w:val="16"/>
            </w:rPr>
          </w:pPr>
          <w:r>
            <w:rPr>
              <w:rFonts w:ascii="Arial" w:hAnsi="Arial"/>
              <w:b/>
              <w:sz w:val="16"/>
            </w:rPr>
            <w:t>MARY R. HALE</w:t>
          </w:r>
        </w:p>
        <w:p w:rsidR="006D0AD8" w:rsidRDefault="006D0AD8" w:rsidP="00814D00">
          <w:pPr>
            <w:jc w:val="right"/>
            <w:rPr>
              <w:rFonts w:ascii="Arial" w:hAnsi="Arial"/>
              <w:sz w:val="16"/>
            </w:rPr>
          </w:pPr>
          <w:r w:rsidRPr="00965660">
            <w:rPr>
              <w:rFonts w:ascii="Arial" w:hAnsi="Arial"/>
              <w:sz w:val="16"/>
            </w:rPr>
            <w:t>DEPUTY AGENCY DIRECTOR</w:t>
          </w:r>
        </w:p>
        <w:p w:rsidR="006D0AD8" w:rsidRDefault="006D0AD8" w:rsidP="00814D00">
          <w:pPr>
            <w:jc w:val="right"/>
            <w:rPr>
              <w:rFonts w:ascii="Arial" w:hAnsi="Arial"/>
              <w:sz w:val="16"/>
            </w:rPr>
          </w:pPr>
        </w:p>
        <w:p w:rsidR="006D0AD8" w:rsidRDefault="006D0AD8" w:rsidP="00814D00">
          <w:pPr>
            <w:jc w:val="right"/>
            <w:rPr>
              <w:rFonts w:ascii="Arial" w:hAnsi="Arial"/>
              <w:b/>
              <w:sz w:val="16"/>
            </w:rPr>
          </w:pPr>
          <w:r>
            <w:rPr>
              <w:rFonts w:ascii="Arial" w:hAnsi="Arial"/>
              <w:b/>
              <w:sz w:val="16"/>
            </w:rPr>
            <w:t>DAVID HORNER</w:t>
          </w:r>
        </w:p>
        <w:p w:rsidR="006D0AD8" w:rsidRPr="000F694D" w:rsidRDefault="006D0AD8" w:rsidP="00814D00">
          <w:pPr>
            <w:jc w:val="right"/>
            <w:rPr>
              <w:rFonts w:ascii="Arial" w:hAnsi="Arial"/>
              <w:sz w:val="16"/>
            </w:rPr>
          </w:pPr>
          <w:r>
            <w:rPr>
              <w:rFonts w:ascii="Arial" w:hAnsi="Arial"/>
              <w:sz w:val="16"/>
            </w:rPr>
            <w:t>DIRECTOR</w:t>
          </w:r>
        </w:p>
        <w:p w:rsidR="006D0AD8" w:rsidRDefault="006D0AD8" w:rsidP="00965660">
          <w:pPr>
            <w:jc w:val="right"/>
            <w:rPr>
              <w:rFonts w:ascii="Arial" w:hAnsi="Arial" w:cs="Arial"/>
              <w:sz w:val="14"/>
            </w:rPr>
          </w:pPr>
        </w:p>
        <w:p w:rsidR="006D0AD8" w:rsidRPr="00965660" w:rsidRDefault="006D0AD8" w:rsidP="00814D00">
          <w:pPr>
            <w:jc w:val="right"/>
            <w:rPr>
              <w:rFonts w:ascii="Arial" w:hAnsi="Arial"/>
              <w:sz w:val="14"/>
            </w:rPr>
          </w:pPr>
          <w:r w:rsidRPr="00965660">
            <w:rPr>
              <w:rFonts w:ascii="Arial" w:hAnsi="Arial"/>
              <w:sz w:val="14"/>
            </w:rPr>
            <w:t>405 W. 5</w:t>
          </w:r>
          <w:r w:rsidRPr="00965660">
            <w:rPr>
              <w:rFonts w:ascii="Arial" w:hAnsi="Arial"/>
              <w:sz w:val="14"/>
              <w:vertAlign w:val="superscript"/>
            </w:rPr>
            <w:t>th</w:t>
          </w:r>
          <w:r w:rsidRPr="00965660">
            <w:rPr>
              <w:rFonts w:ascii="Arial" w:hAnsi="Arial"/>
              <w:sz w:val="14"/>
            </w:rPr>
            <w:t xml:space="preserve"> STREET, </w:t>
          </w:r>
          <w:r>
            <w:rPr>
              <w:rFonts w:ascii="Arial" w:hAnsi="Arial"/>
              <w:sz w:val="14"/>
            </w:rPr>
            <w:t>4</w:t>
          </w:r>
          <w:r w:rsidRPr="00525950">
            <w:rPr>
              <w:rFonts w:ascii="Arial" w:hAnsi="Arial"/>
              <w:sz w:val="14"/>
              <w:vertAlign w:val="superscript"/>
            </w:rPr>
            <w:t>th</w:t>
          </w:r>
          <w:r>
            <w:rPr>
              <w:rFonts w:ascii="Arial" w:hAnsi="Arial"/>
              <w:sz w:val="14"/>
            </w:rPr>
            <w:t xml:space="preserve"> FLOOR</w:t>
          </w:r>
        </w:p>
        <w:p w:rsidR="006D0AD8" w:rsidRDefault="006D0AD8" w:rsidP="00814D00">
          <w:pPr>
            <w:spacing w:after="60"/>
            <w:jc w:val="right"/>
            <w:rPr>
              <w:rFonts w:ascii="Arial" w:hAnsi="Arial"/>
              <w:sz w:val="14"/>
            </w:rPr>
          </w:pPr>
          <w:smartTag w:uri="urn:schemas-microsoft-com:office:smarttags" w:element="State">
            <w:r w:rsidRPr="00965660">
              <w:rPr>
                <w:rFonts w:ascii="Arial" w:hAnsi="Arial"/>
                <w:sz w:val="14"/>
              </w:rPr>
              <w:t>SANTA ANA</w:t>
            </w:r>
          </w:smartTag>
          <w:r w:rsidRPr="00965660">
            <w:rPr>
              <w:rFonts w:ascii="Arial" w:hAnsi="Arial"/>
              <w:sz w:val="14"/>
            </w:rPr>
            <w:t xml:space="preserve">, </w:t>
          </w:r>
          <w:smartTag w:uri="urn:schemas-microsoft-com:office:smarttags" w:element="PostalCode">
            <w:r w:rsidRPr="00965660">
              <w:rPr>
                <w:rFonts w:ascii="Arial" w:hAnsi="Arial"/>
                <w:sz w:val="14"/>
              </w:rPr>
              <w:t>CA</w:t>
            </w:r>
          </w:smartTag>
          <w:r w:rsidRPr="00965660">
            <w:rPr>
              <w:rFonts w:ascii="Arial" w:hAnsi="Arial"/>
              <w:sz w:val="14"/>
            </w:rPr>
            <w:t xml:space="preserve">  92701</w:t>
          </w:r>
        </w:p>
        <w:p w:rsidR="006D0AD8" w:rsidRDefault="006D0AD8" w:rsidP="000F694D">
          <w:pPr>
            <w:jc w:val="right"/>
            <w:rPr>
              <w:rFonts w:ascii="Arial" w:hAnsi="Arial" w:cs="Arial"/>
              <w:sz w:val="14"/>
              <w:lang w:val="it-IT"/>
            </w:rPr>
          </w:pPr>
          <w:r>
            <w:rPr>
              <w:rFonts w:ascii="Arial" w:hAnsi="Arial" w:cs="Arial"/>
              <w:sz w:val="14"/>
              <w:lang w:val="it-IT"/>
            </w:rPr>
            <w:t>(714) 568-5601</w:t>
          </w:r>
        </w:p>
        <w:p w:rsidR="006D0AD8" w:rsidRPr="00526A71" w:rsidRDefault="006D0AD8" w:rsidP="000F694D">
          <w:pPr>
            <w:jc w:val="right"/>
            <w:rPr>
              <w:rFonts w:ascii="Arial" w:hAnsi="Arial" w:cs="Arial"/>
              <w:sz w:val="14"/>
              <w:lang w:val="it-IT"/>
            </w:rPr>
          </w:pPr>
          <w:r>
            <w:rPr>
              <w:rFonts w:ascii="Arial" w:hAnsi="Arial" w:cs="Arial"/>
              <w:sz w:val="14"/>
              <w:lang w:val="it-IT"/>
            </w:rPr>
            <w:t xml:space="preserve">FAX: (714) </w:t>
          </w:r>
          <w:r>
            <w:rPr>
              <w:rFonts w:ascii="Arial" w:hAnsi="Arial"/>
              <w:sz w:val="14"/>
            </w:rPr>
            <w:t>834-6575</w:t>
          </w:r>
        </w:p>
        <w:p w:rsidR="006D0AD8" w:rsidRDefault="006D0AD8">
          <w:pPr>
            <w:jc w:val="right"/>
            <w:rPr>
              <w:rFonts w:ascii="Arial" w:hAnsi="Arial" w:cs="Arial"/>
              <w:sz w:val="16"/>
            </w:rPr>
          </w:pPr>
          <w:r>
            <w:rPr>
              <w:rFonts w:ascii="Arial" w:hAnsi="Arial" w:cs="Arial"/>
              <w:sz w:val="16"/>
            </w:rPr>
            <w:t xml:space="preserve">hornerdavid@ochca.com </w:t>
          </w:r>
        </w:p>
        <w:p w:rsidR="006D0AD8" w:rsidRPr="00965660" w:rsidRDefault="006D0AD8">
          <w:pPr>
            <w:jc w:val="right"/>
            <w:rPr>
              <w:rFonts w:ascii="Arial" w:hAnsi="Arial" w:cs="Arial"/>
              <w:sz w:val="16"/>
            </w:rPr>
          </w:pPr>
        </w:p>
      </w:tc>
    </w:tr>
  </w:tbl>
  <w:p w:rsidR="006D0AD8" w:rsidRDefault="006D0AD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1070"/>
    <w:rsid w:val="00035622"/>
    <w:rsid w:val="00037E92"/>
    <w:rsid w:val="00042FAC"/>
    <w:rsid w:val="00051E61"/>
    <w:rsid w:val="00060ED2"/>
    <w:rsid w:val="0007689E"/>
    <w:rsid w:val="0008483E"/>
    <w:rsid w:val="000A2875"/>
    <w:rsid w:val="000B1490"/>
    <w:rsid w:val="000D1F85"/>
    <w:rsid w:val="000D5789"/>
    <w:rsid w:val="000E097A"/>
    <w:rsid w:val="000F62F9"/>
    <w:rsid w:val="000F694D"/>
    <w:rsid w:val="000F7E6F"/>
    <w:rsid w:val="001172DF"/>
    <w:rsid w:val="001219B4"/>
    <w:rsid w:val="00123B01"/>
    <w:rsid w:val="00130956"/>
    <w:rsid w:val="001365AB"/>
    <w:rsid w:val="001530DB"/>
    <w:rsid w:val="00171474"/>
    <w:rsid w:val="00173B6F"/>
    <w:rsid w:val="00181120"/>
    <w:rsid w:val="001A2429"/>
    <w:rsid w:val="001A4AAD"/>
    <w:rsid w:val="001A596F"/>
    <w:rsid w:val="001B20A7"/>
    <w:rsid w:val="001D444E"/>
    <w:rsid w:val="001D7215"/>
    <w:rsid w:val="001D7429"/>
    <w:rsid w:val="001E2D42"/>
    <w:rsid w:val="001E608E"/>
    <w:rsid w:val="001F2481"/>
    <w:rsid w:val="001F2656"/>
    <w:rsid w:val="00206BA8"/>
    <w:rsid w:val="00225B8F"/>
    <w:rsid w:val="00230E06"/>
    <w:rsid w:val="00237440"/>
    <w:rsid w:val="00240552"/>
    <w:rsid w:val="00242A85"/>
    <w:rsid w:val="002452C5"/>
    <w:rsid w:val="0024589A"/>
    <w:rsid w:val="0025367C"/>
    <w:rsid w:val="002555A7"/>
    <w:rsid w:val="002558DB"/>
    <w:rsid w:val="002659F6"/>
    <w:rsid w:val="00267888"/>
    <w:rsid w:val="0027097B"/>
    <w:rsid w:val="00272EDE"/>
    <w:rsid w:val="00274056"/>
    <w:rsid w:val="00274DF5"/>
    <w:rsid w:val="00277F43"/>
    <w:rsid w:val="002D50C7"/>
    <w:rsid w:val="002D73D9"/>
    <w:rsid w:val="003116A5"/>
    <w:rsid w:val="00316D39"/>
    <w:rsid w:val="00321D68"/>
    <w:rsid w:val="003324B3"/>
    <w:rsid w:val="0034449D"/>
    <w:rsid w:val="0035310E"/>
    <w:rsid w:val="00355CC3"/>
    <w:rsid w:val="00360FB2"/>
    <w:rsid w:val="00370EDC"/>
    <w:rsid w:val="0039128B"/>
    <w:rsid w:val="00391C5B"/>
    <w:rsid w:val="003946D3"/>
    <w:rsid w:val="003A22EF"/>
    <w:rsid w:val="003B5F44"/>
    <w:rsid w:val="003B6DFE"/>
    <w:rsid w:val="003C20A5"/>
    <w:rsid w:val="003C70BC"/>
    <w:rsid w:val="003D1400"/>
    <w:rsid w:val="003D6DA5"/>
    <w:rsid w:val="003F3727"/>
    <w:rsid w:val="003F47B3"/>
    <w:rsid w:val="00403C61"/>
    <w:rsid w:val="00422855"/>
    <w:rsid w:val="00423985"/>
    <w:rsid w:val="0043147A"/>
    <w:rsid w:val="0043176B"/>
    <w:rsid w:val="004326F8"/>
    <w:rsid w:val="00432EC1"/>
    <w:rsid w:val="004367CC"/>
    <w:rsid w:val="00436D78"/>
    <w:rsid w:val="00440A5C"/>
    <w:rsid w:val="004443D6"/>
    <w:rsid w:val="00450699"/>
    <w:rsid w:val="004529CA"/>
    <w:rsid w:val="00456BE7"/>
    <w:rsid w:val="00460D58"/>
    <w:rsid w:val="00474ADA"/>
    <w:rsid w:val="00477360"/>
    <w:rsid w:val="0048752E"/>
    <w:rsid w:val="00490155"/>
    <w:rsid w:val="0049205A"/>
    <w:rsid w:val="00492F32"/>
    <w:rsid w:val="0049736D"/>
    <w:rsid w:val="004A195B"/>
    <w:rsid w:val="004B0194"/>
    <w:rsid w:val="004B3863"/>
    <w:rsid w:val="004B70B9"/>
    <w:rsid w:val="004E699F"/>
    <w:rsid w:val="004F61E8"/>
    <w:rsid w:val="00502EC1"/>
    <w:rsid w:val="005063EE"/>
    <w:rsid w:val="00506754"/>
    <w:rsid w:val="005110A2"/>
    <w:rsid w:val="00516822"/>
    <w:rsid w:val="00523AE6"/>
    <w:rsid w:val="00525950"/>
    <w:rsid w:val="005358CE"/>
    <w:rsid w:val="00553127"/>
    <w:rsid w:val="00554674"/>
    <w:rsid w:val="005643A1"/>
    <w:rsid w:val="005659C1"/>
    <w:rsid w:val="00565C48"/>
    <w:rsid w:val="005B767F"/>
    <w:rsid w:val="005B7F01"/>
    <w:rsid w:val="005C312F"/>
    <w:rsid w:val="005D47AF"/>
    <w:rsid w:val="005D5A6B"/>
    <w:rsid w:val="005D6597"/>
    <w:rsid w:val="005E0EED"/>
    <w:rsid w:val="0060725A"/>
    <w:rsid w:val="00613676"/>
    <w:rsid w:val="00625039"/>
    <w:rsid w:val="00630D67"/>
    <w:rsid w:val="00632143"/>
    <w:rsid w:val="0063359C"/>
    <w:rsid w:val="0064483B"/>
    <w:rsid w:val="00677BFB"/>
    <w:rsid w:val="00686C9D"/>
    <w:rsid w:val="006A0A65"/>
    <w:rsid w:val="006A4875"/>
    <w:rsid w:val="006A493C"/>
    <w:rsid w:val="006A4BE3"/>
    <w:rsid w:val="006A6D51"/>
    <w:rsid w:val="006D0AD8"/>
    <w:rsid w:val="006D283F"/>
    <w:rsid w:val="006D77AB"/>
    <w:rsid w:val="006D78BD"/>
    <w:rsid w:val="006E2B11"/>
    <w:rsid w:val="006E4824"/>
    <w:rsid w:val="0071180E"/>
    <w:rsid w:val="00715854"/>
    <w:rsid w:val="00722626"/>
    <w:rsid w:val="0072399C"/>
    <w:rsid w:val="007577FC"/>
    <w:rsid w:val="00760823"/>
    <w:rsid w:val="007665A6"/>
    <w:rsid w:val="00772C7D"/>
    <w:rsid w:val="00772D87"/>
    <w:rsid w:val="0077432B"/>
    <w:rsid w:val="00780AAD"/>
    <w:rsid w:val="0078117A"/>
    <w:rsid w:val="00790C93"/>
    <w:rsid w:val="0079461F"/>
    <w:rsid w:val="007B1FBF"/>
    <w:rsid w:val="007B70F5"/>
    <w:rsid w:val="007C2A84"/>
    <w:rsid w:val="007F7375"/>
    <w:rsid w:val="00807E97"/>
    <w:rsid w:val="00814D00"/>
    <w:rsid w:val="008305D7"/>
    <w:rsid w:val="00842D01"/>
    <w:rsid w:val="00845486"/>
    <w:rsid w:val="008541F1"/>
    <w:rsid w:val="008635AD"/>
    <w:rsid w:val="00863F1F"/>
    <w:rsid w:val="00866247"/>
    <w:rsid w:val="008914D0"/>
    <w:rsid w:val="00891593"/>
    <w:rsid w:val="00893B52"/>
    <w:rsid w:val="00894D1C"/>
    <w:rsid w:val="008A07A7"/>
    <w:rsid w:val="008A799B"/>
    <w:rsid w:val="008B0B0A"/>
    <w:rsid w:val="008B3F3B"/>
    <w:rsid w:val="008E0285"/>
    <w:rsid w:val="00912CFA"/>
    <w:rsid w:val="00917208"/>
    <w:rsid w:val="00923524"/>
    <w:rsid w:val="00925719"/>
    <w:rsid w:val="009362FA"/>
    <w:rsid w:val="009531B8"/>
    <w:rsid w:val="0096178A"/>
    <w:rsid w:val="009643C9"/>
    <w:rsid w:val="00965660"/>
    <w:rsid w:val="00966E7A"/>
    <w:rsid w:val="009749A3"/>
    <w:rsid w:val="009752CF"/>
    <w:rsid w:val="00976BEA"/>
    <w:rsid w:val="0098332E"/>
    <w:rsid w:val="009B3F90"/>
    <w:rsid w:val="009B40F5"/>
    <w:rsid w:val="009B6615"/>
    <w:rsid w:val="009E08A5"/>
    <w:rsid w:val="009F71FF"/>
    <w:rsid w:val="00A025E5"/>
    <w:rsid w:val="00A210E6"/>
    <w:rsid w:val="00A34DD3"/>
    <w:rsid w:val="00A52A3A"/>
    <w:rsid w:val="00A53745"/>
    <w:rsid w:val="00A54D02"/>
    <w:rsid w:val="00A61F51"/>
    <w:rsid w:val="00A67779"/>
    <w:rsid w:val="00A7573D"/>
    <w:rsid w:val="00A7649C"/>
    <w:rsid w:val="00A77BB2"/>
    <w:rsid w:val="00A85946"/>
    <w:rsid w:val="00A902A3"/>
    <w:rsid w:val="00AB24F4"/>
    <w:rsid w:val="00AC3624"/>
    <w:rsid w:val="00AC705C"/>
    <w:rsid w:val="00AD0EBC"/>
    <w:rsid w:val="00AD7B70"/>
    <w:rsid w:val="00AF5C39"/>
    <w:rsid w:val="00B057AB"/>
    <w:rsid w:val="00B15929"/>
    <w:rsid w:val="00B241BB"/>
    <w:rsid w:val="00B24911"/>
    <w:rsid w:val="00B42C66"/>
    <w:rsid w:val="00B70E3C"/>
    <w:rsid w:val="00B75C75"/>
    <w:rsid w:val="00B7719C"/>
    <w:rsid w:val="00B83CC6"/>
    <w:rsid w:val="00BA39D6"/>
    <w:rsid w:val="00BB7F7A"/>
    <w:rsid w:val="00BD2684"/>
    <w:rsid w:val="00BD56C3"/>
    <w:rsid w:val="00BD5C5B"/>
    <w:rsid w:val="00BD7207"/>
    <w:rsid w:val="00BF5B87"/>
    <w:rsid w:val="00C008AE"/>
    <w:rsid w:val="00C05343"/>
    <w:rsid w:val="00C07F16"/>
    <w:rsid w:val="00C1246C"/>
    <w:rsid w:val="00C1268D"/>
    <w:rsid w:val="00C24BFC"/>
    <w:rsid w:val="00C3239C"/>
    <w:rsid w:val="00C364B4"/>
    <w:rsid w:val="00C369B6"/>
    <w:rsid w:val="00C42FD4"/>
    <w:rsid w:val="00C459DF"/>
    <w:rsid w:val="00C504C0"/>
    <w:rsid w:val="00C55C1C"/>
    <w:rsid w:val="00C829EF"/>
    <w:rsid w:val="00C84CCE"/>
    <w:rsid w:val="00C86D5A"/>
    <w:rsid w:val="00CB1C77"/>
    <w:rsid w:val="00CC1B3C"/>
    <w:rsid w:val="00CC49CF"/>
    <w:rsid w:val="00CD6B34"/>
    <w:rsid w:val="00CE3D47"/>
    <w:rsid w:val="00D101BA"/>
    <w:rsid w:val="00D37D90"/>
    <w:rsid w:val="00D566F7"/>
    <w:rsid w:val="00D644C2"/>
    <w:rsid w:val="00D73865"/>
    <w:rsid w:val="00D86EB0"/>
    <w:rsid w:val="00D92949"/>
    <w:rsid w:val="00D92D48"/>
    <w:rsid w:val="00D95D41"/>
    <w:rsid w:val="00DB57D2"/>
    <w:rsid w:val="00DB7C70"/>
    <w:rsid w:val="00DD4396"/>
    <w:rsid w:val="00DE021C"/>
    <w:rsid w:val="00DE7658"/>
    <w:rsid w:val="00DF7FE9"/>
    <w:rsid w:val="00E00CC5"/>
    <w:rsid w:val="00E04C51"/>
    <w:rsid w:val="00E24F78"/>
    <w:rsid w:val="00E62EE2"/>
    <w:rsid w:val="00E64664"/>
    <w:rsid w:val="00E85A81"/>
    <w:rsid w:val="00E878BD"/>
    <w:rsid w:val="00E911B4"/>
    <w:rsid w:val="00EA5792"/>
    <w:rsid w:val="00EB02A3"/>
    <w:rsid w:val="00EB0486"/>
    <w:rsid w:val="00EE5A38"/>
    <w:rsid w:val="00EF2823"/>
    <w:rsid w:val="00EF7FA1"/>
    <w:rsid w:val="00F20004"/>
    <w:rsid w:val="00F42FF9"/>
    <w:rsid w:val="00F44227"/>
    <w:rsid w:val="00F57DC4"/>
    <w:rsid w:val="00F65D8C"/>
    <w:rsid w:val="00F811AE"/>
    <w:rsid w:val="00F8406D"/>
    <w:rsid w:val="00F84B7A"/>
    <w:rsid w:val="00F925B7"/>
    <w:rsid w:val="00FA14B2"/>
    <w:rsid w:val="00FB1B72"/>
    <w:rsid w:val="00FD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3553"/>
    <o:shapelayout v:ext="edit">
      <o:idmap v:ext="edit" data="1"/>
    </o:shapelayout>
  </w:shapeDefaults>
  <w:decimalSymbol w:val="."/>
  <w:listSeparator w:val=","/>
  <w15:chartTrackingRefBased/>
  <w15:docId w15:val="{7F82B040-CDEA-4B4B-BBCB-5E0CFA6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0" w:right="-366"/>
      <w:jc w:val="center"/>
      <w:outlineLvl w:val="0"/>
    </w:pPr>
    <w:rPr>
      <w:rFonts w:ascii="Arial" w:hAnsi="Arial"/>
      <w:b/>
      <w:sz w:val="26"/>
    </w:rPr>
  </w:style>
  <w:style w:type="paragraph" w:styleId="Heading2">
    <w:name w:val="heading 2"/>
    <w:basedOn w:val="Normal"/>
    <w:next w:val="Normal"/>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447356266">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9AA5-C760-4BA7-A8AE-EB2443D7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21</cp:revision>
  <cp:lastPrinted>2014-11-26T17:50:00Z</cp:lastPrinted>
  <dcterms:created xsi:type="dcterms:W3CDTF">2015-12-21T19:10:00Z</dcterms:created>
  <dcterms:modified xsi:type="dcterms:W3CDTF">2015-12-28T19:48:00Z</dcterms:modified>
</cp:coreProperties>
</file>