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CC" w:rsidRPr="00DF2A48" w:rsidRDefault="00A50ACC" w:rsidP="00A50ACC">
      <w:pPr>
        <w:pStyle w:val="Heading8"/>
        <w:jc w:val="center"/>
        <w:rPr>
          <w:b w:val="0"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F2A48">
        <w:rPr>
          <w:b w:val="0"/>
          <w:color w:val="000000" w:themeColor="text1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Consumer Perception Survey</w:t>
      </w:r>
    </w:p>
    <w:p w:rsidR="00A50ACC" w:rsidRDefault="008860F5" w:rsidP="00A50ACC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B80730">
        <w:rPr>
          <w:sz w:val="24"/>
          <w:szCs w:val="24"/>
        </w:rPr>
        <w:t xml:space="preserve"> 201</w:t>
      </w:r>
      <w:r w:rsidR="00426B2E">
        <w:rPr>
          <w:sz w:val="24"/>
          <w:szCs w:val="24"/>
        </w:rPr>
        <w:t>7</w:t>
      </w:r>
      <w:r w:rsidR="00A50ACC">
        <w:rPr>
          <w:sz w:val="24"/>
          <w:szCs w:val="24"/>
        </w:rPr>
        <w:t xml:space="preserve"> YSS Administration</w:t>
      </w:r>
    </w:p>
    <w:p w:rsidR="00A50ACC" w:rsidRDefault="00A50ACC" w:rsidP="00A50ACC">
      <w:pPr>
        <w:jc w:val="center"/>
        <w:rPr>
          <w:sz w:val="24"/>
          <w:szCs w:val="24"/>
        </w:rPr>
      </w:pPr>
      <w:r>
        <w:rPr>
          <w:sz w:val="24"/>
          <w:szCs w:val="24"/>
        </w:rPr>
        <w:t>Children and Youth</w:t>
      </w:r>
    </w:p>
    <w:p w:rsidR="00A50ACC" w:rsidRDefault="00A50ACC" w:rsidP="00A50ACC">
      <w:pPr>
        <w:jc w:val="center"/>
        <w:rPr>
          <w:sz w:val="24"/>
          <w:szCs w:val="24"/>
        </w:rPr>
      </w:pPr>
      <w:r>
        <w:rPr>
          <w:sz w:val="24"/>
          <w:szCs w:val="24"/>
        </w:rPr>
        <w:t>Jonathan Rich, Ph.D.</w:t>
      </w:r>
    </w:p>
    <w:p w:rsidR="00A50ACC" w:rsidRDefault="008860F5" w:rsidP="00A50ACC">
      <w:pPr>
        <w:jc w:val="center"/>
        <w:rPr>
          <w:sz w:val="24"/>
          <w:szCs w:val="24"/>
        </w:rPr>
      </w:pPr>
      <w:r>
        <w:rPr>
          <w:sz w:val="24"/>
          <w:szCs w:val="24"/>
        </w:rPr>
        <w:t>June 30</w:t>
      </w:r>
      <w:r w:rsidR="008B36AB">
        <w:rPr>
          <w:sz w:val="24"/>
          <w:szCs w:val="24"/>
        </w:rPr>
        <w:t>, 2018</w:t>
      </w:r>
    </w:p>
    <w:p w:rsidR="00A50ACC" w:rsidRDefault="00A50ACC" w:rsidP="00A50ACC">
      <w:pPr>
        <w:jc w:val="center"/>
        <w:rPr>
          <w:sz w:val="24"/>
          <w:szCs w:val="24"/>
        </w:rPr>
      </w:pPr>
    </w:p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t xml:space="preserve">The Youth Satisfaction Survey (YSS) was offered to all teen and transitional age youth clients attending mental health services at a County or contract CYBH clinic </w:t>
      </w:r>
      <w:r w:rsidR="000D6251">
        <w:rPr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r w:rsidR="008860F5">
        <w:rPr>
          <w:sz w:val="24"/>
          <w:szCs w:val="24"/>
        </w:rPr>
        <w:t>November 13-17</w:t>
      </w:r>
      <w:r w:rsidR="000D6251">
        <w:rPr>
          <w:sz w:val="24"/>
          <w:szCs w:val="24"/>
        </w:rPr>
        <w:t>,</w:t>
      </w:r>
      <w:r>
        <w:rPr>
          <w:sz w:val="24"/>
          <w:szCs w:val="24"/>
        </w:rPr>
        <w:t xml:space="preserve"> 201</w:t>
      </w:r>
      <w:r w:rsidR="00597F06">
        <w:rPr>
          <w:sz w:val="24"/>
          <w:szCs w:val="24"/>
        </w:rPr>
        <w:t>7</w:t>
      </w:r>
      <w:r>
        <w:rPr>
          <w:sz w:val="24"/>
          <w:szCs w:val="24"/>
        </w:rPr>
        <w:t xml:space="preserve">.  The intended age range for the YSS is 13 and older.  </w:t>
      </w:r>
      <w:r w:rsidR="008860F5">
        <w:rPr>
          <w:sz w:val="24"/>
          <w:szCs w:val="24"/>
        </w:rPr>
        <w:t xml:space="preserve">The initial file contained 760 client records. </w:t>
      </w:r>
      <w:r>
        <w:rPr>
          <w:sz w:val="24"/>
          <w:szCs w:val="24"/>
        </w:rPr>
        <w:t>YSS records with birthdates corresponding to an age of 13 – 2</w:t>
      </w:r>
      <w:r w:rsidR="00B80730">
        <w:rPr>
          <w:sz w:val="24"/>
          <w:szCs w:val="24"/>
        </w:rPr>
        <w:t>5</w:t>
      </w:r>
      <w:r>
        <w:rPr>
          <w:sz w:val="24"/>
          <w:szCs w:val="24"/>
        </w:rPr>
        <w:t xml:space="preserve"> and with a CYBH or Prevention &amp; Intervention program indicated were retained for this analysis.  </w:t>
      </w:r>
      <w:r w:rsidR="008D6582">
        <w:rPr>
          <w:sz w:val="24"/>
          <w:szCs w:val="24"/>
        </w:rPr>
        <w:t xml:space="preserve">Records with no birthdate, a birthdate outside of the age range, or a program code that was missing, was not a recognized code, or that was associated with an AOABH program were eliminated from this analysis. This left </w:t>
      </w:r>
      <w:r w:rsidR="003802E7">
        <w:rPr>
          <w:sz w:val="24"/>
          <w:szCs w:val="24"/>
        </w:rPr>
        <w:t>589 r</w:t>
      </w:r>
      <w:r w:rsidR="008D6582">
        <w:rPr>
          <w:sz w:val="24"/>
          <w:szCs w:val="24"/>
        </w:rPr>
        <w:t>ecords.</w:t>
      </w:r>
    </w:p>
    <w:p w:rsidR="00A50ACC" w:rsidRDefault="00A50ACC" w:rsidP="00A50ACC">
      <w:pPr>
        <w:rPr>
          <w:sz w:val="24"/>
          <w:szCs w:val="24"/>
        </w:rPr>
      </w:pPr>
    </w:p>
    <w:p w:rsidR="00A50ACC" w:rsidRDefault="00A50ACC" w:rsidP="00A50AC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YSS Results</w:t>
      </w:r>
    </w:p>
    <w:p w:rsidR="00A50ACC" w:rsidRDefault="00A50ACC" w:rsidP="00A50ACC">
      <w:pPr>
        <w:rPr>
          <w:sz w:val="24"/>
          <w:szCs w:val="24"/>
          <w:u w:val="single"/>
        </w:rPr>
      </w:pPr>
    </w:p>
    <w:p w:rsidR="00A50ACC" w:rsidRDefault="00A50ACC" w:rsidP="00A50AC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Sample description:</w:t>
      </w:r>
    </w:p>
    <w:p w:rsidR="00A50ACC" w:rsidRDefault="00A50ACC" w:rsidP="00A50ACC">
      <w:pPr>
        <w:rPr>
          <w:sz w:val="24"/>
          <w:szCs w:val="24"/>
          <w:u w:val="single"/>
        </w:rPr>
      </w:pPr>
    </w:p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t>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77FD">
        <w:rPr>
          <w:sz w:val="24"/>
          <w:szCs w:val="24"/>
        </w:rPr>
        <w:t>589</w:t>
      </w:r>
    </w:p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t xml:space="preserve">Gender (n = </w:t>
      </w:r>
      <w:r w:rsidR="00F22E7B">
        <w:rPr>
          <w:sz w:val="24"/>
          <w:szCs w:val="24"/>
        </w:rPr>
        <w:t>5</w:t>
      </w:r>
      <w:r w:rsidR="00D55DFE">
        <w:rPr>
          <w:sz w:val="24"/>
          <w:szCs w:val="24"/>
        </w:rPr>
        <w:t>72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</w:t>
      </w:r>
      <w:r w:rsidR="00597F06">
        <w:rPr>
          <w:sz w:val="24"/>
          <w:szCs w:val="24"/>
        </w:rPr>
        <w:t>3</w:t>
      </w:r>
      <w:r w:rsidR="00D55DFE">
        <w:rPr>
          <w:sz w:val="24"/>
          <w:szCs w:val="24"/>
        </w:rPr>
        <w:t>50</w:t>
      </w:r>
      <w:r>
        <w:rPr>
          <w:sz w:val="24"/>
          <w:szCs w:val="24"/>
        </w:rPr>
        <w:t xml:space="preserve"> (</w:t>
      </w:r>
      <w:r w:rsidR="000763AD">
        <w:rPr>
          <w:sz w:val="24"/>
          <w:szCs w:val="24"/>
        </w:rPr>
        <w:t>5</w:t>
      </w:r>
      <w:r w:rsidR="00D55DFE">
        <w:rPr>
          <w:sz w:val="24"/>
          <w:szCs w:val="24"/>
        </w:rPr>
        <w:t>9</w:t>
      </w:r>
      <w:r w:rsidR="008D0D47">
        <w:rPr>
          <w:sz w:val="24"/>
          <w:szCs w:val="24"/>
        </w:rPr>
        <w:t>.</w:t>
      </w:r>
      <w:r w:rsidR="00D55DFE">
        <w:rPr>
          <w:sz w:val="24"/>
          <w:szCs w:val="24"/>
        </w:rPr>
        <w:t>4</w:t>
      </w:r>
      <w:r>
        <w:rPr>
          <w:sz w:val="24"/>
          <w:szCs w:val="24"/>
        </w:rPr>
        <w:t>%), M-</w:t>
      </w:r>
      <w:r w:rsidR="008D0D47">
        <w:rPr>
          <w:sz w:val="24"/>
          <w:szCs w:val="24"/>
        </w:rPr>
        <w:t>2</w:t>
      </w:r>
      <w:r w:rsidR="00D55DFE">
        <w:rPr>
          <w:sz w:val="24"/>
          <w:szCs w:val="24"/>
        </w:rPr>
        <w:t>09</w:t>
      </w:r>
      <w:r>
        <w:rPr>
          <w:sz w:val="24"/>
          <w:szCs w:val="24"/>
        </w:rPr>
        <w:t xml:space="preserve"> (</w:t>
      </w:r>
      <w:r w:rsidR="00D55DFE">
        <w:rPr>
          <w:sz w:val="24"/>
          <w:szCs w:val="24"/>
        </w:rPr>
        <w:t>35.5</w:t>
      </w:r>
      <w:r>
        <w:rPr>
          <w:sz w:val="24"/>
          <w:szCs w:val="24"/>
        </w:rPr>
        <w:t>%), O-</w:t>
      </w:r>
      <w:r w:rsidR="00597F06">
        <w:rPr>
          <w:sz w:val="24"/>
          <w:szCs w:val="24"/>
        </w:rPr>
        <w:t>1</w:t>
      </w:r>
      <w:r w:rsidR="00D55DFE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D55DFE">
        <w:rPr>
          <w:sz w:val="24"/>
          <w:szCs w:val="24"/>
        </w:rPr>
        <w:t>2.3</w:t>
      </w:r>
      <w:r>
        <w:rPr>
          <w:sz w:val="24"/>
          <w:szCs w:val="24"/>
        </w:rPr>
        <w:t>%)</w:t>
      </w:r>
    </w:p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t>Age</w:t>
      </w:r>
      <w:r w:rsidR="000763AD">
        <w:rPr>
          <w:sz w:val="24"/>
          <w:szCs w:val="24"/>
        </w:rPr>
        <w:t xml:space="preserve"> (n = </w:t>
      </w:r>
      <w:r w:rsidR="007334CF">
        <w:rPr>
          <w:sz w:val="24"/>
          <w:szCs w:val="24"/>
        </w:rPr>
        <w:t>5</w:t>
      </w:r>
      <w:r w:rsidR="00D55DFE">
        <w:rPr>
          <w:sz w:val="24"/>
          <w:szCs w:val="24"/>
        </w:rPr>
        <w:t>89</w:t>
      </w:r>
      <w:r w:rsidR="000763AD">
        <w:rPr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Mean = </w:t>
      </w:r>
      <w:r w:rsidR="002D643D">
        <w:rPr>
          <w:sz w:val="24"/>
          <w:szCs w:val="24"/>
        </w:rPr>
        <w:t>1</w:t>
      </w:r>
      <w:r w:rsidR="007334CF">
        <w:rPr>
          <w:sz w:val="24"/>
          <w:szCs w:val="24"/>
        </w:rPr>
        <w:t>6.</w:t>
      </w:r>
      <w:r w:rsidR="00D55DFE">
        <w:rPr>
          <w:sz w:val="24"/>
          <w:szCs w:val="24"/>
        </w:rPr>
        <w:t>1</w:t>
      </w:r>
      <w:r>
        <w:rPr>
          <w:sz w:val="24"/>
          <w:szCs w:val="24"/>
        </w:rPr>
        <w:t xml:space="preserve">, s = </w:t>
      </w:r>
      <w:r w:rsidR="000763AD">
        <w:rPr>
          <w:sz w:val="24"/>
          <w:szCs w:val="24"/>
        </w:rPr>
        <w:t>2.</w:t>
      </w:r>
      <w:r w:rsidR="00D55DFE">
        <w:rPr>
          <w:sz w:val="24"/>
          <w:szCs w:val="24"/>
        </w:rPr>
        <w:t>6</w:t>
      </w:r>
      <w:r>
        <w:rPr>
          <w:sz w:val="24"/>
          <w:szCs w:val="24"/>
        </w:rPr>
        <w:t>, range = 1</w:t>
      </w:r>
      <w:r w:rsidR="00D55DFE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2D643D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A50ACC" w:rsidRDefault="00A50ACC" w:rsidP="001412AB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Form Language (n = </w:t>
      </w:r>
      <w:r w:rsidR="007334CF">
        <w:rPr>
          <w:sz w:val="24"/>
          <w:szCs w:val="24"/>
        </w:rPr>
        <w:t>5</w:t>
      </w:r>
      <w:r w:rsidR="00D55DFE">
        <w:rPr>
          <w:sz w:val="24"/>
          <w:szCs w:val="24"/>
        </w:rPr>
        <w:t>89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  <w:t>English-</w:t>
      </w:r>
      <w:r w:rsidR="00D55DFE">
        <w:rPr>
          <w:sz w:val="24"/>
          <w:szCs w:val="24"/>
        </w:rPr>
        <w:t>576</w:t>
      </w:r>
      <w:r>
        <w:rPr>
          <w:sz w:val="24"/>
          <w:szCs w:val="24"/>
        </w:rPr>
        <w:t xml:space="preserve"> (9</w:t>
      </w:r>
      <w:r w:rsidR="00D55DFE">
        <w:rPr>
          <w:sz w:val="24"/>
          <w:szCs w:val="24"/>
        </w:rPr>
        <w:t>7.8</w:t>
      </w:r>
      <w:r>
        <w:rPr>
          <w:sz w:val="24"/>
          <w:szCs w:val="24"/>
        </w:rPr>
        <w:t>%), Spanish-</w:t>
      </w:r>
      <w:r w:rsidR="00D55DFE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D55DFE">
        <w:rPr>
          <w:sz w:val="24"/>
          <w:szCs w:val="24"/>
        </w:rPr>
        <w:t>1</w:t>
      </w:r>
      <w:r w:rsidR="007334CF">
        <w:rPr>
          <w:sz w:val="24"/>
          <w:szCs w:val="24"/>
        </w:rPr>
        <w:t>.4</w:t>
      </w:r>
      <w:r>
        <w:rPr>
          <w:sz w:val="24"/>
          <w:szCs w:val="24"/>
        </w:rPr>
        <w:t>%)</w:t>
      </w:r>
      <w:r w:rsidR="007334CF">
        <w:rPr>
          <w:sz w:val="24"/>
          <w:szCs w:val="24"/>
        </w:rPr>
        <w:t>, Vietnamese -2 (0.</w:t>
      </w:r>
      <w:r w:rsidR="00D55DFE">
        <w:rPr>
          <w:sz w:val="24"/>
          <w:szCs w:val="24"/>
        </w:rPr>
        <w:t>3</w:t>
      </w:r>
      <w:r w:rsidR="007334CF">
        <w:rPr>
          <w:sz w:val="24"/>
          <w:szCs w:val="24"/>
        </w:rPr>
        <w:t>%)</w:t>
      </w:r>
    </w:p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t xml:space="preserve">Race/Ethnicity (n = </w:t>
      </w:r>
      <w:r w:rsidR="00204035">
        <w:rPr>
          <w:sz w:val="24"/>
          <w:szCs w:val="24"/>
        </w:rPr>
        <w:t>536</w:t>
      </w:r>
      <w:r>
        <w:rPr>
          <w:sz w:val="24"/>
          <w:szCs w:val="24"/>
        </w:rPr>
        <w:t xml:space="preserve">): </w:t>
      </w:r>
    </w:p>
    <w:p w:rsidR="00A50ACC" w:rsidRDefault="00A50ACC" w:rsidP="00A50ACC">
      <w:pPr>
        <w:pStyle w:val="Caption"/>
        <w:keepNext/>
        <w:jc w:val="center"/>
      </w:pPr>
      <w:r>
        <w:t xml:space="preserve">Figure </w:t>
      </w:r>
      <w:r w:rsidR="00380912">
        <w:fldChar w:fldCharType="begin"/>
      </w:r>
      <w:r w:rsidR="00380912">
        <w:instrText xml:space="preserve"> SEQ Figure \* ARABIC </w:instrText>
      </w:r>
      <w:r w:rsidR="00380912">
        <w:fldChar w:fldCharType="separate"/>
      </w:r>
      <w:r w:rsidR="00A50C3E">
        <w:rPr>
          <w:noProof/>
        </w:rPr>
        <w:t>1</w:t>
      </w:r>
      <w:r w:rsidR="00380912">
        <w:rPr>
          <w:noProof/>
        </w:rPr>
        <w:fldChar w:fldCharType="end"/>
      </w:r>
      <w:r>
        <w:t>. Client race/ethnicity</w:t>
      </w:r>
      <w:r w:rsidR="0077513F">
        <w:t xml:space="preserve"> (569)</w:t>
      </w:r>
    </w:p>
    <w:p w:rsidR="00A50ACC" w:rsidRDefault="0077513F" w:rsidP="00A50A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894ADE">
            <wp:extent cx="5212080" cy="3785616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ACC" w:rsidRDefault="00A50ACC" w:rsidP="00A50ACC">
      <w:pPr>
        <w:rPr>
          <w:sz w:val="24"/>
          <w:szCs w:val="24"/>
        </w:rPr>
      </w:pPr>
    </w:p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t xml:space="preserve">County vs. Contract (n = </w:t>
      </w:r>
      <w:r w:rsidR="00450E09">
        <w:rPr>
          <w:sz w:val="24"/>
          <w:szCs w:val="24"/>
        </w:rPr>
        <w:t>5</w:t>
      </w:r>
      <w:r w:rsidR="00C248D2">
        <w:rPr>
          <w:sz w:val="24"/>
          <w:szCs w:val="24"/>
        </w:rPr>
        <w:t>89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  <w:t xml:space="preserve">County </w:t>
      </w:r>
      <w:r w:rsidR="00075D23">
        <w:rPr>
          <w:sz w:val="24"/>
          <w:szCs w:val="24"/>
        </w:rPr>
        <w:t>1</w:t>
      </w:r>
      <w:r w:rsidR="00C248D2">
        <w:rPr>
          <w:sz w:val="24"/>
          <w:szCs w:val="24"/>
        </w:rPr>
        <w:t>7.5</w:t>
      </w:r>
      <w:r>
        <w:rPr>
          <w:sz w:val="24"/>
          <w:szCs w:val="24"/>
        </w:rPr>
        <w:t xml:space="preserve">% vs. Contract </w:t>
      </w:r>
      <w:r w:rsidR="00075D23">
        <w:rPr>
          <w:sz w:val="24"/>
          <w:szCs w:val="24"/>
        </w:rPr>
        <w:t>8</w:t>
      </w:r>
      <w:r w:rsidR="00C248D2">
        <w:rPr>
          <w:sz w:val="24"/>
          <w:szCs w:val="24"/>
        </w:rPr>
        <w:t>2.5</w:t>
      </w:r>
      <w:r>
        <w:rPr>
          <w:sz w:val="24"/>
          <w:szCs w:val="24"/>
        </w:rPr>
        <w:t xml:space="preserve">% </w:t>
      </w:r>
    </w:p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t xml:space="preserve">Division (n = </w:t>
      </w:r>
      <w:r w:rsidR="00450E09">
        <w:rPr>
          <w:sz w:val="24"/>
          <w:szCs w:val="24"/>
        </w:rPr>
        <w:t>5</w:t>
      </w:r>
      <w:r w:rsidR="00C248D2">
        <w:rPr>
          <w:sz w:val="24"/>
          <w:szCs w:val="24"/>
        </w:rPr>
        <w:t>89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CYBH </w:t>
      </w:r>
      <w:r w:rsidR="00075D23">
        <w:rPr>
          <w:sz w:val="24"/>
          <w:szCs w:val="24"/>
        </w:rPr>
        <w:t>9</w:t>
      </w:r>
      <w:r w:rsidR="00C248D2">
        <w:rPr>
          <w:sz w:val="24"/>
          <w:szCs w:val="24"/>
        </w:rPr>
        <w:t>8.5</w:t>
      </w:r>
      <w:r>
        <w:rPr>
          <w:sz w:val="24"/>
          <w:szCs w:val="24"/>
        </w:rPr>
        <w:t xml:space="preserve">%, </w:t>
      </w:r>
      <w:r w:rsidR="00455761">
        <w:rPr>
          <w:sz w:val="24"/>
          <w:szCs w:val="24"/>
        </w:rPr>
        <w:t>P&amp;I</w:t>
      </w:r>
      <w:r>
        <w:rPr>
          <w:sz w:val="24"/>
          <w:szCs w:val="24"/>
        </w:rPr>
        <w:t xml:space="preserve"> </w:t>
      </w:r>
      <w:r w:rsidR="00C248D2">
        <w:rPr>
          <w:sz w:val="24"/>
          <w:szCs w:val="24"/>
        </w:rPr>
        <w:t>1.2</w:t>
      </w:r>
      <w:r w:rsidR="00075D23">
        <w:rPr>
          <w:sz w:val="24"/>
          <w:szCs w:val="24"/>
        </w:rPr>
        <w:t>%</w:t>
      </w:r>
      <w:r w:rsidR="00C248D2">
        <w:rPr>
          <w:sz w:val="24"/>
          <w:szCs w:val="24"/>
        </w:rPr>
        <w:t xml:space="preserve"> Innovations 0.3%</w:t>
      </w:r>
    </w:p>
    <w:p w:rsidR="00A50ACC" w:rsidRDefault="00A50ACC" w:rsidP="00A50ACC">
      <w:pPr>
        <w:rPr>
          <w:sz w:val="24"/>
          <w:szCs w:val="24"/>
        </w:rPr>
      </w:pPr>
    </w:p>
    <w:p w:rsidR="00A50ACC" w:rsidRDefault="00A50ACC" w:rsidP="00A50ACC">
      <w:pPr>
        <w:keepNext/>
        <w:keepLines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Mean YSS scale scores</w:t>
      </w:r>
      <w:r>
        <w:rPr>
          <w:sz w:val="24"/>
          <w:szCs w:val="24"/>
        </w:rPr>
        <w:t>:</w:t>
      </w:r>
    </w:p>
    <w:p w:rsidR="00A50ACC" w:rsidRDefault="00A50ACC" w:rsidP="00A50ACC">
      <w:pPr>
        <w:keepNext/>
        <w:keepLines/>
        <w:rPr>
          <w:sz w:val="24"/>
          <w:szCs w:val="24"/>
        </w:rPr>
      </w:pPr>
    </w:p>
    <w:p w:rsidR="00A50ACC" w:rsidRDefault="00A50ACC" w:rsidP="00A50ACC">
      <w:pPr>
        <w:keepNext/>
        <w:keepLines/>
        <w:rPr>
          <w:noProof/>
          <w:sz w:val="24"/>
          <w:szCs w:val="24"/>
        </w:rPr>
      </w:pPr>
    </w:p>
    <w:p w:rsidR="00A50ACC" w:rsidRDefault="00A50ACC" w:rsidP="008B080F">
      <w:pPr>
        <w:pStyle w:val="Caption"/>
        <w:keepNext/>
        <w:keepLines/>
        <w:jc w:val="center"/>
      </w:pPr>
      <w:r>
        <w:t xml:space="preserve">Figure </w:t>
      </w:r>
      <w:r w:rsidR="00380912">
        <w:fldChar w:fldCharType="begin"/>
      </w:r>
      <w:r w:rsidR="00380912">
        <w:instrText xml:space="preserve"> SEQ Figure \* ARABIC </w:instrText>
      </w:r>
      <w:r w:rsidR="00380912">
        <w:fldChar w:fldCharType="separate"/>
      </w:r>
      <w:r w:rsidR="00A50C3E">
        <w:rPr>
          <w:noProof/>
        </w:rPr>
        <w:t>2</w:t>
      </w:r>
      <w:r w:rsidR="00380912">
        <w:rPr>
          <w:noProof/>
        </w:rPr>
        <w:fldChar w:fldCharType="end"/>
      </w:r>
      <w:r>
        <w:t>. Mean Scores: YSS</w:t>
      </w:r>
    </w:p>
    <w:p w:rsidR="00A50ACC" w:rsidRDefault="00A50ACC" w:rsidP="008B080F">
      <w:pPr>
        <w:pStyle w:val="Caption"/>
        <w:keepNext/>
        <w:keepLines/>
        <w:jc w:val="center"/>
      </w:pPr>
      <w:r>
        <w:t>(Scale is 1-"strongly disagree" to 5-"strongly agree")</w:t>
      </w:r>
    </w:p>
    <w:p w:rsidR="00A50ACC" w:rsidRDefault="007A2404" w:rsidP="008B080F">
      <w:pPr>
        <w:keepNext/>
        <w:keepLines/>
        <w:jc w:val="center"/>
      </w:pPr>
      <w:r>
        <w:rPr>
          <w:noProof/>
        </w:rPr>
        <w:drawing>
          <wp:inline distT="0" distB="0" distL="0" distR="0" wp14:anchorId="46282A64">
            <wp:extent cx="5212080" cy="3785616"/>
            <wp:effectExtent l="0" t="0" r="762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ACC" w:rsidRDefault="00A50ACC" w:rsidP="00A50ACC">
      <w:pPr>
        <w:pStyle w:val="Caption"/>
        <w:rPr>
          <w:sz w:val="24"/>
          <w:szCs w:val="24"/>
        </w:rPr>
      </w:pPr>
    </w:p>
    <w:p w:rsidR="00A50ACC" w:rsidRDefault="00A50ACC" w:rsidP="00A50ACC">
      <w:pPr>
        <w:rPr>
          <w:sz w:val="24"/>
          <w:szCs w:val="24"/>
        </w:rPr>
      </w:pPr>
    </w:p>
    <w:p w:rsidR="00F045EB" w:rsidRDefault="00F045EB" w:rsidP="00F045EB">
      <w:r>
        <w:br w:type="page"/>
      </w:r>
    </w:p>
    <w:p w:rsidR="00A50ACC" w:rsidRDefault="00A50ACC" w:rsidP="00A50ACC">
      <w:pPr>
        <w:keepNext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Factors affecting YSS scores</w:t>
      </w:r>
      <w:r>
        <w:rPr>
          <w:sz w:val="24"/>
          <w:szCs w:val="24"/>
        </w:rPr>
        <w:t>:</w:t>
      </w:r>
    </w:p>
    <w:p w:rsidR="00A50ACC" w:rsidRDefault="00A50ACC" w:rsidP="00A50ACC">
      <w:pPr>
        <w:keepNext/>
        <w:rPr>
          <w:sz w:val="24"/>
          <w:szCs w:val="24"/>
        </w:rPr>
      </w:pPr>
    </w:p>
    <w:p w:rsidR="00A50ACC" w:rsidRDefault="006F5B16" w:rsidP="00F045EB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Race/ethnicity was associated with only one YSS scale, Social Connectedness</w:t>
      </w:r>
      <w:r w:rsidR="00E043FC">
        <w:rPr>
          <w:color w:val="000000"/>
          <w:sz w:val="24"/>
          <w:szCs w:val="24"/>
        </w:rPr>
        <w:t xml:space="preserve">, </w:t>
      </w:r>
      <w:r w:rsidR="00E043FC">
        <w:rPr>
          <w:i/>
          <w:color w:val="000000"/>
          <w:sz w:val="24"/>
          <w:szCs w:val="24"/>
        </w:rPr>
        <w:t>p</w:t>
      </w:r>
      <w:r w:rsidR="00E043FC">
        <w:rPr>
          <w:color w:val="000000"/>
          <w:sz w:val="24"/>
          <w:szCs w:val="24"/>
        </w:rPr>
        <w:t xml:space="preserve"> &lt; .01</w:t>
      </w:r>
      <w:r>
        <w:rPr>
          <w:color w:val="000000"/>
          <w:sz w:val="24"/>
          <w:szCs w:val="24"/>
        </w:rPr>
        <w:t xml:space="preserve">. On this scale, Caucasians scored higher than Asians and Latinos. This scale </w:t>
      </w:r>
      <w:r w:rsidR="00D34344">
        <w:rPr>
          <w:color w:val="000000"/>
          <w:sz w:val="24"/>
          <w:szCs w:val="24"/>
        </w:rPr>
        <w:t xml:space="preserve">measures </w:t>
      </w:r>
      <w:r>
        <w:rPr>
          <w:color w:val="000000"/>
          <w:sz w:val="24"/>
          <w:szCs w:val="24"/>
        </w:rPr>
        <w:t>the degree to which clients feel more socially connected as a result of services received.</w:t>
      </w:r>
    </w:p>
    <w:p w:rsidR="00F045EB" w:rsidRDefault="00F045EB" w:rsidP="00F045EB">
      <w:pPr>
        <w:keepNext/>
        <w:rPr>
          <w:b/>
        </w:rPr>
      </w:pPr>
    </w:p>
    <w:p w:rsidR="00A50ACC" w:rsidRDefault="00A50ACC" w:rsidP="00A50ACC">
      <w:pPr>
        <w:jc w:val="center"/>
        <w:rPr>
          <w:b/>
        </w:rPr>
      </w:pPr>
      <w:r>
        <w:rPr>
          <w:b/>
        </w:rPr>
        <w:t>Figure 3.</w:t>
      </w:r>
      <w:r w:rsidR="006F5B16">
        <w:rPr>
          <w:b/>
        </w:rPr>
        <w:t xml:space="preserve"> YSS scores by race/ethnicity</w:t>
      </w:r>
      <w:r w:rsidR="005D258D">
        <w:rPr>
          <w:b/>
          <w:noProof/>
        </w:rPr>
        <w:drawing>
          <wp:inline distT="0" distB="0" distL="0" distR="0" wp14:anchorId="112F2738">
            <wp:extent cx="5212080" cy="3785616"/>
            <wp:effectExtent l="0" t="0" r="762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ACC" w:rsidRDefault="00A50ACC" w:rsidP="00A50ACC">
      <w:pPr>
        <w:jc w:val="center"/>
        <w:rPr>
          <w:b/>
        </w:rPr>
      </w:pPr>
    </w:p>
    <w:p w:rsidR="00F045EB" w:rsidRDefault="00F045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A2C10" w:rsidRDefault="00BA2C10" w:rsidP="00D75430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There were</w:t>
      </w:r>
      <w:r w:rsidR="00783549">
        <w:rPr>
          <w:color w:val="000000"/>
          <w:sz w:val="24"/>
          <w:szCs w:val="24"/>
        </w:rPr>
        <w:t xml:space="preserve"> significant gender differences across the YSS </w:t>
      </w:r>
      <w:r>
        <w:rPr>
          <w:color w:val="000000"/>
          <w:sz w:val="24"/>
          <w:szCs w:val="24"/>
        </w:rPr>
        <w:t xml:space="preserve">Outcomes and Functioning </w:t>
      </w:r>
      <w:r w:rsidR="00783549">
        <w:rPr>
          <w:color w:val="000000"/>
          <w:sz w:val="24"/>
          <w:szCs w:val="24"/>
        </w:rPr>
        <w:t>score</w:t>
      </w:r>
      <w:r w:rsidR="00D75430">
        <w:rPr>
          <w:color w:val="000000"/>
          <w:sz w:val="24"/>
          <w:szCs w:val="24"/>
        </w:rPr>
        <w:t>s</w:t>
      </w:r>
      <w:r w:rsidR="0078354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On both of these scales, males scored higher than females.</w:t>
      </w:r>
    </w:p>
    <w:p w:rsidR="00BA2C10" w:rsidRDefault="00BA2C10" w:rsidP="00D75430">
      <w:pPr>
        <w:keepNext/>
        <w:rPr>
          <w:color w:val="000000"/>
          <w:sz w:val="24"/>
          <w:szCs w:val="24"/>
        </w:rPr>
      </w:pPr>
    </w:p>
    <w:p w:rsidR="00BA2C10" w:rsidRDefault="00BA2C10" w:rsidP="00D75430">
      <w:pPr>
        <w:keepNext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81D5C1">
            <wp:extent cx="5212080" cy="3785616"/>
            <wp:effectExtent l="0" t="0" r="762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15F" w:rsidRDefault="0072115F" w:rsidP="00D75430">
      <w:pPr>
        <w:keepNext/>
        <w:rPr>
          <w:sz w:val="24"/>
          <w:szCs w:val="24"/>
        </w:rPr>
      </w:pPr>
    </w:p>
    <w:p w:rsidR="00A50ACC" w:rsidRDefault="00A50ACC" w:rsidP="00D75430">
      <w:pPr>
        <w:keepNext/>
        <w:rPr>
          <w:sz w:val="24"/>
          <w:szCs w:val="24"/>
        </w:rPr>
      </w:pPr>
      <w:r>
        <w:rPr>
          <w:sz w:val="24"/>
          <w:szCs w:val="24"/>
        </w:rPr>
        <w:t>Clients who had been enrolled longer in services tended to score higher on YSS scales.</w:t>
      </w:r>
      <w:r w:rsidR="00D75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These relationships are depicted in Figure </w:t>
      </w:r>
      <w:r w:rsidR="00F045EB">
        <w:rPr>
          <w:sz w:val="24"/>
          <w:szCs w:val="24"/>
        </w:rPr>
        <w:t>4</w:t>
      </w:r>
      <w:r>
        <w:rPr>
          <w:sz w:val="24"/>
          <w:szCs w:val="24"/>
        </w:rPr>
        <w:t xml:space="preserve">.  All are significant at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&lt; .01.</w:t>
      </w:r>
    </w:p>
    <w:p w:rsidR="00A50ACC" w:rsidRDefault="00A50ACC" w:rsidP="00A50ACC">
      <w:pPr>
        <w:rPr>
          <w:sz w:val="24"/>
          <w:szCs w:val="24"/>
        </w:rPr>
      </w:pPr>
    </w:p>
    <w:p w:rsidR="00A50ACC" w:rsidRDefault="00A50ACC" w:rsidP="00A50ACC">
      <w:pPr>
        <w:pStyle w:val="Caption"/>
        <w:keepNext/>
        <w:jc w:val="center"/>
      </w:pPr>
      <w:r>
        <w:t xml:space="preserve">Figure </w:t>
      </w:r>
      <w:r w:rsidR="004B18C5">
        <w:t>4</w:t>
      </w:r>
      <w:r>
        <w:t>. YSS Scores by time in service</w:t>
      </w:r>
    </w:p>
    <w:p w:rsidR="00174D6D" w:rsidRDefault="00867BA9" w:rsidP="00B83B2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CB9674">
            <wp:extent cx="5212080" cy="3785616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D6D" w:rsidRDefault="00174D6D" w:rsidP="00A50ACC">
      <w:pPr>
        <w:rPr>
          <w:sz w:val="24"/>
          <w:szCs w:val="24"/>
        </w:rPr>
      </w:pPr>
    </w:p>
    <w:p w:rsidR="00174D6D" w:rsidRDefault="00512833" w:rsidP="00A50ACC">
      <w:pPr>
        <w:rPr>
          <w:sz w:val="24"/>
          <w:szCs w:val="24"/>
        </w:rPr>
      </w:pPr>
      <w:r>
        <w:rPr>
          <w:sz w:val="24"/>
          <w:szCs w:val="24"/>
        </w:rPr>
        <w:t xml:space="preserve">Older participants </w:t>
      </w:r>
      <w:r w:rsidR="004F12C6">
        <w:rPr>
          <w:sz w:val="24"/>
          <w:szCs w:val="24"/>
        </w:rPr>
        <w:t xml:space="preserve">obtained higher YSS scores on all but the Social </w:t>
      </w:r>
      <w:r w:rsidR="001B6D71">
        <w:rPr>
          <w:sz w:val="24"/>
          <w:szCs w:val="24"/>
        </w:rPr>
        <w:t>Connectedness</w:t>
      </w:r>
      <w:r w:rsidR="004F12C6">
        <w:rPr>
          <w:sz w:val="24"/>
          <w:szCs w:val="24"/>
        </w:rPr>
        <w:t xml:space="preserve"> scale</w:t>
      </w:r>
      <w:r>
        <w:rPr>
          <w:sz w:val="24"/>
          <w:szCs w:val="24"/>
        </w:rPr>
        <w:t xml:space="preserve">.  </w:t>
      </w:r>
      <w:r w:rsidR="004F12C6">
        <w:rPr>
          <w:sz w:val="24"/>
          <w:szCs w:val="24"/>
        </w:rPr>
        <w:t xml:space="preserve">The Pearson correlation coefficients are shown in Table </w:t>
      </w:r>
      <w:r w:rsidR="003F07FA">
        <w:rPr>
          <w:sz w:val="24"/>
          <w:szCs w:val="24"/>
        </w:rPr>
        <w:t>1</w:t>
      </w:r>
      <w:r w:rsidR="004F12C6">
        <w:rPr>
          <w:sz w:val="24"/>
          <w:szCs w:val="24"/>
        </w:rPr>
        <w:t xml:space="preserve"> and the</w:t>
      </w:r>
      <w:r>
        <w:rPr>
          <w:sz w:val="24"/>
          <w:szCs w:val="24"/>
        </w:rPr>
        <w:t xml:space="preserve"> trends are shown in Figure</w:t>
      </w:r>
      <w:r w:rsidR="004F12C6">
        <w:rPr>
          <w:sz w:val="24"/>
          <w:szCs w:val="24"/>
        </w:rPr>
        <w:t>s</w:t>
      </w:r>
      <w:r>
        <w:rPr>
          <w:sz w:val="24"/>
          <w:szCs w:val="24"/>
        </w:rPr>
        <w:t xml:space="preserve"> 5</w:t>
      </w:r>
      <w:r w:rsidR="004F12C6">
        <w:rPr>
          <w:sz w:val="24"/>
          <w:szCs w:val="24"/>
        </w:rPr>
        <w:t xml:space="preserve"> and 6</w:t>
      </w:r>
      <w:r>
        <w:rPr>
          <w:sz w:val="24"/>
          <w:szCs w:val="24"/>
        </w:rPr>
        <w:t>.</w:t>
      </w:r>
    </w:p>
    <w:p w:rsidR="00512833" w:rsidRDefault="00512833" w:rsidP="00A50ACC">
      <w:pPr>
        <w:rPr>
          <w:sz w:val="24"/>
          <w:szCs w:val="24"/>
        </w:rPr>
      </w:pPr>
    </w:p>
    <w:p w:rsidR="004F12C6" w:rsidRDefault="004F12C6" w:rsidP="004F12C6">
      <w:pPr>
        <w:pStyle w:val="Caption"/>
        <w:keepNext/>
      </w:pPr>
      <w:r>
        <w:lastRenderedPageBreak/>
        <w:t xml:space="preserve">Table </w:t>
      </w:r>
      <w:r w:rsidR="00380912">
        <w:fldChar w:fldCharType="begin"/>
      </w:r>
      <w:r w:rsidR="00380912">
        <w:instrText xml:space="preserve"> SEQ Table \* ARABIC </w:instrText>
      </w:r>
      <w:r w:rsidR="00380912">
        <w:fldChar w:fldCharType="separate"/>
      </w:r>
      <w:r>
        <w:rPr>
          <w:noProof/>
        </w:rPr>
        <w:t>1</w:t>
      </w:r>
      <w:r w:rsidR="00380912">
        <w:rPr>
          <w:noProof/>
        </w:rPr>
        <w:fldChar w:fldCharType="end"/>
      </w:r>
      <w:r>
        <w:t>. Pearson correlation between YSS scales and age</w:t>
      </w:r>
    </w:p>
    <w:tbl>
      <w:tblPr>
        <w:tblW w:w="8791" w:type="dxa"/>
        <w:tblLook w:val="04A0" w:firstRow="1" w:lastRow="0" w:firstColumn="1" w:lastColumn="0" w:noHBand="0" w:noVBand="1"/>
      </w:tblPr>
      <w:tblGrid>
        <w:gridCol w:w="1097"/>
        <w:gridCol w:w="1080"/>
        <w:gridCol w:w="1080"/>
        <w:gridCol w:w="1080"/>
        <w:gridCol w:w="1147"/>
        <w:gridCol w:w="1080"/>
        <w:gridCol w:w="1147"/>
        <w:gridCol w:w="1080"/>
      </w:tblGrid>
      <w:tr w:rsidR="004F12C6" w:rsidRPr="004F12C6" w:rsidTr="004F12C6">
        <w:trPr>
          <w:trHeight w:val="735"/>
        </w:trPr>
        <w:tc>
          <w:tcPr>
            <w:tcW w:w="1097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Good access to services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Partici-pation in treatment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Cultural sensitivity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Satisfaction with services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Positive outcomes of services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Functioning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Social Connect-edness</w:t>
            </w:r>
          </w:p>
        </w:tc>
      </w:tr>
      <w:tr w:rsidR="004F12C6" w:rsidRPr="004F12C6" w:rsidTr="004F12C6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4F12C6" w:rsidRPr="004F12C6" w:rsidRDefault="004F12C6" w:rsidP="004F12C6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Correlation</w:t>
            </w: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 with 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0.136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0.129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0.074</w:t>
            </w:r>
          </w:p>
        </w:tc>
      </w:tr>
      <w:tr w:rsidR="004F12C6" w:rsidRPr="004F12C6" w:rsidTr="004F12C6">
        <w:trPr>
          <w:trHeight w:val="480"/>
        </w:trPr>
        <w:tc>
          <w:tcPr>
            <w:tcW w:w="10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4F12C6" w:rsidRPr="004F12C6" w:rsidRDefault="004F12C6" w:rsidP="004F12C6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333399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0.002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4F12C6" w:rsidRPr="004F12C6" w:rsidRDefault="004F12C6" w:rsidP="004F12C6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4F12C6">
              <w:rPr>
                <w:rFonts w:ascii="Arial" w:hAnsi="Arial" w:cs="Arial"/>
                <w:color w:val="993300"/>
                <w:sz w:val="18"/>
                <w:szCs w:val="18"/>
              </w:rPr>
              <w:t>0.075</w:t>
            </w:r>
          </w:p>
        </w:tc>
      </w:tr>
    </w:tbl>
    <w:p w:rsidR="004F12C6" w:rsidRDefault="004F12C6" w:rsidP="00A50ACC">
      <w:pPr>
        <w:rPr>
          <w:sz w:val="24"/>
          <w:szCs w:val="24"/>
        </w:rPr>
      </w:pPr>
    </w:p>
    <w:p w:rsidR="00512833" w:rsidRDefault="00512833" w:rsidP="00512833">
      <w:pPr>
        <w:pStyle w:val="Caption"/>
        <w:keepNext/>
        <w:jc w:val="center"/>
      </w:pPr>
      <w:r>
        <w:t xml:space="preserve">Figure 5. </w:t>
      </w:r>
      <w:r w:rsidR="00041C8F">
        <w:t>Satisfaction (YSS) by age group</w:t>
      </w:r>
    </w:p>
    <w:p w:rsidR="00512833" w:rsidRDefault="00041C8F" w:rsidP="0051283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C0E05F">
            <wp:extent cx="5212080" cy="3785616"/>
            <wp:effectExtent l="0" t="0" r="762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C3E" w:rsidRDefault="00A50C3E" w:rsidP="00512833">
      <w:pPr>
        <w:jc w:val="center"/>
        <w:rPr>
          <w:sz w:val="24"/>
          <w:szCs w:val="24"/>
        </w:rPr>
      </w:pPr>
    </w:p>
    <w:p w:rsidR="00A50C3E" w:rsidRDefault="00A50C3E" w:rsidP="00A50C3E">
      <w:pPr>
        <w:pStyle w:val="Caption"/>
        <w:keepNext/>
        <w:jc w:val="center"/>
      </w:pPr>
      <w:r>
        <w:t>Figure 6. Functioning (YSS) by age group</w:t>
      </w:r>
    </w:p>
    <w:p w:rsidR="00A50C3E" w:rsidRDefault="00A50C3E" w:rsidP="00A50C3E">
      <w:pPr>
        <w:keepNext/>
        <w:jc w:val="center"/>
      </w:pPr>
      <w:r>
        <w:rPr>
          <w:noProof/>
          <w:sz w:val="24"/>
          <w:szCs w:val="24"/>
        </w:rPr>
        <w:drawing>
          <wp:inline distT="0" distB="0" distL="0" distR="0" wp14:anchorId="15F4B1A1">
            <wp:extent cx="5212080" cy="3785616"/>
            <wp:effectExtent l="0" t="0" r="762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C3E" w:rsidRPr="00174D6D" w:rsidRDefault="00A50C3E" w:rsidP="00A50C3E">
      <w:pPr>
        <w:pStyle w:val="Caption"/>
        <w:jc w:val="center"/>
        <w:rPr>
          <w:sz w:val="24"/>
          <w:szCs w:val="24"/>
        </w:rPr>
      </w:pPr>
      <w:r>
        <w:t xml:space="preserve">Figure </w:t>
      </w:r>
      <w:r w:rsidR="00380912">
        <w:fldChar w:fldCharType="begin"/>
      </w:r>
      <w:r w:rsidR="00380912">
        <w:instrText xml:space="preserve"> SEQ Figure \* ARABIC </w:instrText>
      </w:r>
      <w:r w:rsidR="00380912">
        <w:fldChar w:fldCharType="separate"/>
      </w:r>
      <w:r>
        <w:rPr>
          <w:noProof/>
        </w:rPr>
        <w:t>4</w:t>
      </w:r>
      <w:r w:rsidR="00380912">
        <w:rPr>
          <w:noProof/>
        </w:rPr>
        <w:fldChar w:fldCharType="end"/>
      </w:r>
    </w:p>
    <w:p w:rsidR="00A50ACC" w:rsidRDefault="00A50ACC" w:rsidP="00A50ACC">
      <w:pPr>
        <w:pStyle w:val="Caption"/>
        <w:keepNext/>
        <w:keepLines/>
      </w:pPr>
    </w:p>
    <w:p w:rsidR="00A50ACC" w:rsidRDefault="00A50ACC" w:rsidP="00A50ACC">
      <w:pPr>
        <w:keepNext/>
        <w:keepLines/>
        <w:rPr>
          <w:sz w:val="24"/>
          <w:szCs w:val="24"/>
          <w:u w:val="single"/>
        </w:rPr>
      </w:pPr>
      <w:r>
        <w:tab/>
      </w:r>
      <w:r>
        <w:rPr>
          <w:sz w:val="24"/>
          <w:szCs w:val="24"/>
          <w:u w:val="single"/>
        </w:rPr>
        <w:t>Living Situation</w:t>
      </w:r>
    </w:p>
    <w:p w:rsidR="00A50ACC" w:rsidRDefault="00A50ACC" w:rsidP="00A50ACC">
      <w:pPr>
        <w:keepNext/>
        <w:keepLines/>
        <w:rPr>
          <w:sz w:val="24"/>
          <w:szCs w:val="24"/>
          <w:u w:val="single"/>
        </w:rPr>
      </w:pPr>
    </w:p>
    <w:p w:rsidR="00A50ACC" w:rsidRDefault="00A50ACC" w:rsidP="00A50ACC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>Clients were asked, “Have you lived in any of the following places in the last 6 months? (Mark all that apply.)”</w:t>
      </w:r>
      <w:r w:rsidR="006D483B">
        <w:rPr>
          <w:sz w:val="24"/>
          <w:szCs w:val="24"/>
        </w:rPr>
        <w:t xml:space="preserve"> The responses to this question are seen in Figure </w:t>
      </w:r>
      <w:r w:rsidR="00263B91">
        <w:rPr>
          <w:sz w:val="24"/>
          <w:szCs w:val="24"/>
        </w:rPr>
        <w:t>6. T</w:t>
      </w:r>
      <w:r w:rsidR="006D483B">
        <w:rPr>
          <w:sz w:val="24"/>
          <w:szCs w:val="24"/>
        </w:rPr>
        <w:t xml:space="preserve">hree out of four youths resided with one or both parents during the prior six months.  </w:t>
      </w:r>
      <w:r w:rsidR="00C605DA">
        <w:rPr>
          <w:sz w:val="24"/>
          <w:szCs w:val="24"/>
        </w:rPr>
        <w:t>Three</w:t>
      </w:r>
      <w:r w:rsidR="006D483B">
        <w:rPr>
          <w:sz w:val="24"/>
          <w:szCs w:val="24"/>
        </w:rPr>
        <w:t xml:space="preserve"> percent of youth reported homelessness during this same period</w:t>
      </w:r>
      <w:r w:rsidR="00263B91">
        <w:rPr>
          <w:sz w:val="24"/>
          <w:szCs w:val="24"/>
        </w:rPr>
        <w:t xml:space="preserve"> and </w:t>
      </w:r>
      <w:r w:rsidR="00DD5DC3">
        <w:rPr>
          <w:sz w:val="24"/>
          <w:szCs w:val="24"/>
        </w:rPr>
        <w:t>3.9</w:t>
      </w:r>
      <w:r w:rsidR="00263B91">
        <w:rPr>
          <w:sz w:val="24"/>
          <w:szCs w:val="24"/>
        </w:rPr>
        <w:t>% had either been homeless or lived in a homeless shelter</w:t>
      </w:r>
      <w:r w:rsidR="006D483B">
        <w:rPr>
          <w:sz w:val="24"/>
          <w:szCs w:val="24"/>
        </w:rPr>
        <w:t xml:space="preserve">. Homelessness </w:t>
      </w:r>
      <w:r w:rsidR="00C605DA">
        <w:rPr>
          <w:sz w:val="24"/>
          <w:szCs w:val="24"/>
        </w:rPr>
        <w:t xml:space="preserve">increased </w:t>
      </w:r>
      <w:r w:rsidR="00580271">
        <w:rPr>
          <w:sz w:val="24"/>
          <w:szCs w:val="24"/>
        </w:rPr>
        <w:t>markedly at age 21 and above, affecting one out of six clients</w:t>
      </w:r>
      <w:r w:rsidR="001171CF">
        <w:rPr>
          <w:sz w:val="24"/>
          <w:szCs w:val="24"/>
        </w:rPr>
        <w:t xml:space="preserve"> (</w:t>
      </w:r>
      <w:r w:rsidR="006D483B">
        <w:rPr>
          <w:sz w:val="24"/>
          <w:szCs w:val="24"/>
        </w:rPr>
        <w:t xml:space="preserve">Figure </w:t>
      </w:r>
      <w:r w:rsidR="00263B91">
        <w:rPr>
          <w:sz w:val="24"/>
          <w:szCs w:val="24"/>
        </w:rPr>
        <w:t>7</w:t>
      </w:r>
      <w:r w:rsidR="006D483B">
        <w:rPr>
          <w:sz w:val="24"/>
          <w:szCs w:val="24"/>
        </w:rPr>
        <w:t>).</w:t>
      </w:r>
    </w:p>
    <w:p w:rsidR="00A50ACC" w:rsidRDefault="00A50ACC" w:rsidP="00A50ACC">
      <w:pPr>
        <w:keepNext/>
        <w:keepLines/>
        <w:rPr>
          <w:sz w:val="24"/>
          <w:szCs w:val="24"/>
        </w:rPr>
      </w:pPr>
    </w:p>
    <w:p w:rsidR="00A50ACC" w:rsidRDefault="00A50ACC" w:rsidP="00263B91">
      <w:pPr>
        <w:pStyle w:val="Caption"/>
        <w:keepNext/>
        <w:jc w:val="center"/>
      </w:pPr>
      <w:r>
        <w:t xml:space="preserve">Figure </w:t>
      </w:r>
      <w:r w:rsidR="00263B91">
        <w:t>6</w:t>
      </w:r>
      <w:r>
        <w:t>. Percentage in living situation over past 6 months</w:t>
      </w:r>
    </w:p>
    <w:p w:rsidR="00A50ACC" w:rsidRDefault="00244922" w:rsidP="00263B91">
      <w:pPr>
        <w:keepNext/>
        <w:keepLine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6FB3C7">
            <wp:extent cx="5212080" cy="3785616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ACC" w:rsidRDefault="00A50ACC" w:rsidP="00A50ACC">
      <w:pPr>
        <w:keepNext/>
        <w:keepLines/>
        <w:rPr>
          <w:sz w:val="24"/>
          <w:szCs w:val="24"/>
        </w:rPr>
      </w:pPr>
    </w:p>
    <w:p w:rsidR="00A50ACC" w:rsidRDefault="00A50ACC" w:rsidP="00A50ACC">
      <w:pPr>
        <w:rPr>
          <w:sz w:val="24"/>
          <w:szCs w:val="24"/>
        </w:rPr>
      </w:pPr>
    </w:p>
    <w:p w:rsidR="001171CF" w:rsidRDefault="00A50ACC" w:rsidP="00CE5750">
      <w:r>
        <w:rPr>
          <w:sz w:val="24"/>
          <w:szCs w:val="24"/>
        </w:rPr>
        <w:tab/>
      </w:r>
      <w:r>
        <w:br w:type="page"/>
      </w:r>
    </w:p>
    <w:p w:rsidR="001171CF" w:rsidRDefault="001171CF" w:rsidP="001171CF">
      <w:pPr>
        <w:pStyle w:val="Caption"/>
        <w:keepNext/>
        <w:jc w:val="center"/>
      </w:pPr>
      <w:r>
        <w:lastRenderedPageBreak/>
        <w:t xml:space="preserve">Figure </w:t>
      </w:r>
      <w:r w:rsidR="00CE5750">
        <w:t>7</w:t>
      </w:r>
      <w:r>
        <w:t>. Homeless or in homeless shelter in last 6 months, by age</w:t>
      </w:r>
    </w:p>
    <w:p w:rsidR="00A50ACC" w:rsidRDefault="00DD5DC3" w:rsidP="00263B91">
      <w:pPr>
        <w:jc w:val="center"/>
      </w:pPr>
      <w:r>
        <w:rPr>
          <w:noProof/>
        </w:rPr>
        <w:drawing>
          <wp:inline distT="0" distB="0" distL="0" distR="0" wp14:anchorId="540310DB">
            <wp:extent cx="5212080" cy="3785616"/>
            <wp:effectExtent l="0" t="0" r="762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1CF" w:rsidRDefault="001171CF" w:rsidP="00263B91">
      <w:pPr>
        <w:jc w:val="center"/>
      </w:pPr>
    </w:p>
    <w:p w:rsidR="00A50ACC" w:rsidRDefault="00A50ACC" w:rsidP="00A50AC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Doctor visits and medication</w:t>
      </w:r>
    </w:p>
    <w:p w:rsidR="00421DAB" w:rsidRDefault="00421DAB" w:rsidP="00A50ACC">
      <w:pPr>
        <w:rPr>
          <w:sz w:val="24"/>
          <w:szCs w:val="24"/>
          <w:u w:val="single"/>
        </w:rPr>
      </w:pPr>
    </w:p>
    <w:p w:rsidR="00421DAB" w:rsidRDefault="00421DAB" w:rsidP="00421DAB">
      <w:pPr>
        <w:rPr>
          <w:sz w:val="24"/>
          <w:szCs w:val="24"/>
        </w:rPr>
      </w:pPr>
      <w:r>
        <w:rPr>
          <w:sz w:val="24"/>
          <w:szCs w:val="24"/>
        </w:rPr>
        <w:t xml:space="preserve">As reflected by Figure </w:t>
      </w:r>
      <w:r w:rsidR="00D96987">
        <w:rPr>
          <w:sz w:val="24"/>
          <w:szCs w:val="24"/>
        </w:rPr>
        <w:t>8</w:t>
      </w:r>
      <w:r>
        <w:rPr>
          <w:sz w:val="24"/>
          <w:szCs w:val="24"/>
        </w:rPr>
        <w:t>, 6</w:t>
      </w:r>
      <w:r w:rsidR="00A13592">
        <w:rPr>
          <w:sz w:val="24"/>
          <w:szCs w:val="24"/>
        </w:rPr>
        <w:t>6.0</w:t>
      </w:r>
      <w:r>
        <w:rPr>
          <w:sz w:val="24"/>
          <w:szCs w:val="24"/>
        </w:rPr>
        <w:t>% of clients reporting (</w:t>
      </w:r>
      <w:r w:rsidR="00135490">
        <w:rPr>
          <w:sz w:val="24"/>
          <w:szCs w:val="24"/>
        </w:rPr>
        <w:t>316</w:t>
      </w:r>
      <w:r w:rsidR="00D96987">
        <w:rPr>
          <w:sz w:val="24"/>
          <w:szCs w:val="24"/>
        </w:rPr>
        <w:t>/</w:t>
      </w:r>
      <w:r w:rsidR="008A406F">
        <w:rPr>
          <w:sz w:val="24"/>
          <w:szCs w:val="24"/>
        </w:rPr>
        <w:t>4</w:t>
      </w:r>
      <w:r w:rsidR="00135490">
        <w:rPr>
          <w:sz w:val="24"/>
          <w:szCs w:val="24"/>
        </w:rPr>
        <w:t>79)</w:t>
      </w:r>
      <w:r>
        <w:rPr>
          <w:sz w:val="24"/>
          <w:szCs w:val="24"/>
        </w:rPr>
        <w:t xml:space="preserve"> were seen for a medical clinic or office visit in the prior year.  This rate did not differ significantly by age, ethnicity, </w:t>
      </w:r>
      <w:r w:rsidR="001B6D71">
        <w:rPr>
          <w:sz w:val="24"/>
          <w:szCs w:val="24"/>
        </w:rPr>
        <w:t>and county</w:t>
      </w:r>
      <w:r>
        <w:rPr>
          <w:sz w:val="24"/>
          <w:szCs w:val="24"/>
        </w:rPr>
        <w:t xml:space="preserve"> vs. contract clinic, </w:t>
      </w:r>
      <w:r w:rsidR="00BE1BD1">
        <w:rPr>
          <w:sz w:val="24"/>
          <w:szCs w:val="24"/>
        </w:rPr>
        <w:t>gender, or living situation.</w:t>
      </w:r>
    </w:p>
    <w:p w:rsidR="00E04578" w:rsidRDefault="00E04578" w:rsidP="00421DAB">
      <w:pPr>
        <w:rPr>
          <w:sz w:val="24"/>
          <w:szCs w:val="24"/>
        </w:rPr>
      </w:pPr>
    </w:p>
    <w:p w:rsidR="00E04578" w:rsidRDefault="00E04578" w:rsidP="00421DAB">
      <w:pPr>
        <w:rPr>
          <w:sz w:val="24"/>
          <w:szCs w:val="24"/>
        </w:rPr>
      </w:pPr>
    </w:p>
    <w:p w:rsidR="00421DAB" w:rsidRDefault="00421DAB" w:rsidP="00A50ACC">
      <w:pPr>
        <w:rPr>
          <w:sz w:val="24"/>
          <w:szCs w:val="24"/>
        </w:rPr>
      </w:pPr>
    </w:p>
    <w:p w:rsidR="00A50ACC" w:rsidRDefault="00A50ACC" w:rsidP="00A50ACC">
      <w:pPr>
        <w:rPr>
          <w:sz w:val="24"/>
          <w:szCs w:val="24"/>
          <w:u w:val="single"/>
        </w:rPr>
      </w:pPr>
    </w:p>
    <w:p w:rsidR="00A50ACC" w:rsidRDefault="00A50ACC" w:rsidP="00A50ACC">
      <w:pPr>
        <w:pStyle w:val="Caption"/>
        <w:keepNext/>
        <w:jc w:val="center"/>
      </w:pPr>
      <w:r>
        <w:t>Figure</w:t>
      </w:r>
      <w:r w:rsidR="00D96987">
        <w:t xml:space="preserve"> 8</w:t>
      </w:r>
      <w:r>
        <w:t xml:space="preserve">. "In the last year, did you see a medical doctor (or nurse) </w:t>
      </w:r>
      <w:r>
        <w:br/>
        <w:t>for a health check-up or because you were sick?"</w:t>
      </w:r>
      <w:r w:rsidR="007F5FFC">
        <w:t xml:space="preserve"> (</w:t>
      </w:r>
      <w:r w:rsidR="007F5FFC" w:rsidRPr="007F5FFC">
        <w:rPr>
          <w:i/>
        </w:rPr>
        <w:t>n</w:t>
      </w:r>
      <w:r w:rsidR="007F5FFC">
        <w:t xml:space="preserve"> = 4</w:t>
      </w:r>
      <w:r w:rsidR="00135490">
        <w:t>79</w:t>
      </w:r>
      <w:r w:rsidR="007F5FFC">
        <w:t>)</w:t>
      </w:r>
    </w:p>
    <w:p w:rsidR="00A50ACC" w:rsidRDefault="00A13592" w:rsidP="00A50A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C7415D">
            <wp:extent cx="5212080" cy="3785616"/>
            <wp:effectExtent l="0" t="0" r="762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8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A79" w:rsidRDefault="009B4A79" w:rsidP="00A50ACC">
      <w:pPr>
        <w:rPr>
          <w:sz w:val="24"/>
          <w:szCs w:val="24"/>
        </w:rPr>
      </w:pPr>
    </w:p>
    <w:p w:rsidR="00A50ACC" w:rsidRDefault="00B712EA" w:rsidP="00A50ACC">
      <w:pPr>
        <w:rPr>
          <w:sz w:val="24"/>
          <w:szCs w:val="24"/>
        </w:rPr>
      </w:pPr>
      <w:r>
        <w:rPr>
          <w:sz w:val="24"/>
          <w:szCs w:val="24"/>
        </w:rPr>
        <w:t>Psychotropic medication is taken by</w:t>
      </w:r>
      <w:r w:rsidR="00E04578">
        <w:rPr>
          <w:sz w:val="24"/>
          <w:szCs w:val="24"/>
        </w:rPr>
        <w:t xml:space="preserve"> </w:t>
      </w:r>
      <w:r w:rsidR="009B4A79">
        <w:rPr>
          <w:sz w:val="24"/>
          <w:szCs w:val="24"/>
        </w:rPr>
        <w:t>38.2</w:t>
      </w:r>
      <w:r w:rsidR="00E04578">
        <w:rPr>
          <w:sz w:val="24"/>
          <w:szCs w:val="24"/>
        </w:rPr>
        <w:t>% of clients reporting this information (</w:t>
      </w:r>
      <w:r w:rsidR="009B4A79">
        <w:rPr>
          <w:sz w:val="24"/>
          <w:szCs w:val="24"/>
        </w:rPr>
        <w:t>213/587</w:t>
      </w:r>
      <w:r w:rsidR="00E04578">
        <w:rPr>
          <w:sz w:val="24"/>
          <w:szCs w:val="24"/>
        </w:rPr>
        <w:t>).</w:t>
      </w:r>
      <w:r w:rsidR="00A50ACC">
        <w:rPr>
          <w:sz w:val="24"/>
          <w:szCs w:val="24"/>
        </w:rPr>
        <w:t xml:space="preserve"> </w:t>
      </w:r>
      <w:r w:rsidR="00E04578">
        <w:rPr>
          <w:sz w:val="24"/>
          <w:szCs w:val="24"/>
        </w:rPr>
        <w:t xml:space="preserve"> Of those receiving medication, </w:t>
      </w:r>
      <w:r w:rsidR="008A7ECC">
        <w:rPr>
          <w:sz w:val="24"/>
          <w:szCs w:val="24"/>
        </w:rPr>
        <w:t>8</w:t>
      </w:r>
      <w:r w:rsidR="009B4A79">
        <w:rPr>
          <w:sz w:val="24"/>
          <w:szCs w:val="24"/>
        </w:rPr>
        <w:t>5.1</w:t>
      </w:r>
      <w:r w:rsidR="000246F3">
        <w:rPr>
          <w:sz w:val="24"/>
          <w:szCs w:val="24"/>
        </w:rPr>
        <w:t>% (</w:t>
      </w:r>
      <w:r w:rsidR="006310E2">
        <w:rPr>
          <w:sz w:val="24"/>
          <w:szCs w:val="24"/>
        </w:rPr>
        <w:t>1</w:t>
      </w:r>
      <w:r w:rsidR="009B4A79">
        <w:rPr>
          <w:sz w:val="24"/>
          <w:szCs w:val="24"/>
        </w:rPr>
        <w:t>66/195</w:t>
      </w:r>
      <w:r w:rsidR="000246F3">
        <w:rPr>
          <w:sz w:val="24"/>
          <w:szCs w:val="24"/>
        </w:rPr>
        <w:t>) indicated that the</w:t>
      </w:r>
      <w:r w:rsidR="000246F3" w:rsidRPr="000246F3">
        <w:rPr>
          <w:sz w:val="24"/>
          <w:szCs w:val="24"/>
        </w:rPr>
        <w:t xml:space="preserve"> doctor or nurse t</w:t>
      </w:r>
      <w:r w:rsidR="000246F3">
        <w:rPr>
          <w:sz w:val="24"/>
          <w:szCs w:val="24"/>
        </w:rPr>
        <w:t>old them what side effects to watch for.</w:t>
      </w:r>
    </w:p>
    <w:p w:rsidR="00A50ACC" w:rsidRDefault="00A50ACC" w:rsidP="00A50ACC"/>
    <w:p w:rsidR="00A50ACC" w:rsidRDefault="00A50ACC" w:rsidP="00A50A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0ACC" w:rsidRPr="00A50ACC" w:rsidRDefault="00A50ACC" w:rsidP="00ED30E8">
      <w:pPr>
        <w:pStyle w:val="Caption"/>
        <w:keepNext/>
        <w:jc w:val="center"/>
        <w:rPr>
          <w:color w:val="000000"/>
        </w:rPr>
      </w:pPr>
      <w:r>
        <w:lastRenderedPageBreak/>
        <w:t xml:space="preserve">Table </w:t>
      </w:r>
      <w:r w:rsidR="00F045EB">
        <w:t>1</w:t>
      </w:r>
      <w:r>
        <w:t>. YSS mean scores by program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2721"/>
        <w:gridCol w:w="797"/>
        <w:gridCol w:w="777"/>
        <w:gridCol w:w="797"/>
        <w:gridCol w:w="747"/>
        <w:gridCol w:w="747"/>
        <w:gridCol w:w="967"/>
        <w:gridCol w:w="707"/>
        <w:gridCol w:w="660"/>
      </w:tblGrid>
      <w:tr w:rsidR="000C1BDF" w:rsidRPr="000C1BDF" w:rsidTr="000C1BDF">
        <w:trPr>
          <w:trHeight w:val="72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Program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Access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Partici- pation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Culture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Satis- faction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Out-comes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Function- 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Social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N</w:t>
            </w:r>
          </w:p>
        </w:tc>
      </w:tr>
      <w:tr w:rsidR="000C1BDF" w:rsidRPr="000C1BDF" w:rsidTr="000C1BDF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Behavioral Health Services for Military Families   Child Guidance Center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2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Child Guidance Center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15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Child Guidance Center, BP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4</w:t>
            </w:r>
          </w:p>
        </w:tc>
      </w:tr>
      <w:tr w:rsidR="000C1BDF" w:rsidRPr="000C1BDF" w:rsidTr="000C1BDF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Children?s Hospital of Orange County Co Occurring Clinic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22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Collaborative Courts FSP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49</w:t>
            </w:r>
          </w:p>
        </w:tc>
      </w:tr>
      <w:tr w:rsidR="000C1BDF" w:rsidRPr="000C1BDF" w:rsidTr="000C1BDF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Community Counseling and Supportive Services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1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CYBH CCPU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5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CYBH CM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3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CYBH East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54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CYBH PACT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4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CYBH West Region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17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CYBH, North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13</w:t>
            </w:r>
          </w:p>
        </w:tc>
      </w:tr>
      <w:tr w:rsidR="000C1BDF" w:rsidRPr="000C1BDF" w:rsidTr="000C1BDF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Family Preservation Community Services WRAP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9</w:t>
            </w:r>
          </w:p>
        </w:tc>
      </w:tr>
      <w:tr w:rsidR="000C1BDF" w:rsidRPr="000C1BDF" w:rsidTr="000C1BDF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KCS (Korean Community Services) [Distribute through OCAPICA, 22120]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3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New Alternatives  WRAP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6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OC Accept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2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OCAPICA FSP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33</w:t>
            </w:r>
          </w:p>
        </w:tc>
      </w:tr>
      <w:tr w:rsidR="000C1BDF" w:rsidRPr="000C1BDF" w:rsidTr="000C1BDF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Orange County Center for Resiliency, Education &amp; Wellness(OC CREW)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4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Pathways CS STAY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39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Pathways RENEW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36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Phoenix House Wraparound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3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SCCS-Outpatient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9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Seneca OC Outpatient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15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Seneca OC Wraparound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2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Wayfinders-Families First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20</w:t>
            </w:r>
          </w:p>
        </w:tc>
      </w:tr>
      <w:tr w:rsidR="000C1BDF" w:rsidRPr="000C1BDF" w:rsidTr="000C1BDF">
        <w:trPr>
          <w:trHeight w:val="480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Western Youth Services West: Fountain Valley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43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WYS East (Santa Ana)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40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WYS North (Anaheim)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81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333399"/>
                <w:sz w:val="18"/>
                <w:szCs w:val="18"/>
              </w:rPr>
              <w:t>WYS, Mission Viejo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color w:val="993300"/>
                <w:sz w:val="18"/>
                <w:szCs w:val="18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</w:rPr>
            </w:pPr>
            <w:r w:rsidRPr="000C1BDF">
              <w:rPr>
                <w:rFonts w:ascii="Arial" w:hAnsi="Arial" w:cs="Arial"/>
              </w:rPr>
              <w:t>52</w:t>
            </w:r>
          </w:p>
        </w:tc>
      </w:tr>
      <w:tr w:rsidR="000C1BDF" w:rsidRPr="000C1BDF" w:rsidTr="000C1BDF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000000" w:fill="CCCCFF"/>
            <w:hideMark/>
          </w:tcPr>
          <w:p w:rsidR="000C1BDF" w:rsidRPr="000C1BDF" w:rsidRDefault="000C1BDF" w:rsidP="000C1BDF">
            <w:pPr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t>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t>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t>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r w:rsidRPr="000C1BDF"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t>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BDF" w:rsidRPr="000C1BDF" w:rsidRDefault="000C1BDF" w:rsidP="000C1BDF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</w:p>
        </w:tc>
      </w:tr>
    </w:tbl>
    <w:p w:rsidR="00EF7FA1" w:rsidRDefault="00F52938" w:rsidP="002A5D3E">
      <w:pPr>
        <w:rPr>
          <w:b/>
        </w:rPr>
      </w:pPr>
      <w:r w:rsidRPr="00F52938">
        <w:rPr>
          <w:b/>
          <w:highlight w:val="yellow"/>
        </w:rPr>
        <w:t>Significantly Higher</w:t>
      </w:r>
    </w:p>
    <w:p w:rsidR="00F52938" w:rsidRDefault="00F52938" w:rsidP="002A5D3E">
      <w:pPr>
        <w:rPr>
          <w:b/>
        </w:rPr>
      </w:pPr>
      <w:r w:rsidRPr="00F52938">
        <w:rPr>
          <w:b/>
          <w:highlight w:val="cyan"/>
        </w:rPr>
        <w:t>Significantly Lower</w:t>
      </w:r>
    </w:p>
    <w:p w:rsidR="00F52938" w:rsidRDefault="00F52938" w:rsidP="002A5D3E">
      <w:pPr>
        <w:rPr>
          <w:b/>
        </w:rPr>
      </w:pPr>
      <w:r>
        <w:rPr>
          <w:b/>
        </w:rPr>
        <w:t>(+/- 2 std.errors)</w:t>
      </w:r>
    </w:p>
    <w:p w:rsidR="00F52938" w:rsidRPr="00F52938" w:rsidRDefault="00F52938" w:rsidP="002A5D3E">
      <w:pPr>
        <w:rPr>
          <w:b/>
        </w:rPr>
      </w:pPr>
    </w:p>
    <w:sectPr w:rsidR="00F52938" w:rsidRPr="00F52938" w:rsidSect="00E52315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52" w:right="1440" w:bottom="1440" w:left="1440" w:header="44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78" w:rsidRDefault="00E04578">
      <w:r>
        <w:separator/>
      </w:r>
    </w:p>
  </w:endnote>
  <w:endnote w:type="continuationSeparator" w:id="0">
    <w:p w:rsidR="00E04578" w:rsidRDefault="00E0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78" w:rsidRDefault="00E045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4578" w:rsidRDefault="00E045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927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578" w:rsidRDefault="00E04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578" w:rsidRDefault="00E04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6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578" w:rsidRDefault="00E04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578" w:rsidRDefault="00E04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78" w:rsidRDefault="00E04578">
      <w:r>
        <w:separator/>
      </w:r>
    </w:p>
  </w:footnote>
  <w:footnote w:type="continuationSeparator" w:id="0">
    <w:p w:rsidR="00E04578" w:rsidRDefault="00E0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7559"/>
      <w:gridCol w:w="3078"/>
    </w:tblGrid>
    <w:tr w:rsidR="00E04578" w:rsidTr="00E04578">
      <w:trPr>
        <w:cantSplit/>
        <w:trHeight w:val="2250"/>
        <w:jc w:val="center"/>
      </w:trPr>
      <w:tc>
        <w:tcPr>
          <w:tcW w:w="7559" w:type="dxa"/>
        </w:tcPr>
        <w:p w:rsidR="00E04578" w:rsidRPr="00B15929" w:rsidRDefault="00E04578" w:rsidP="00D823BD">
          <w:pPr>
            <w:pStyle w:val="Heading2"/>
            <w:tabs>
              <w:tab w:val="center" w:pos="5067"/>
            </w:tabs>
            <w:ind w:right="-366"/>
            <w:rPr>
              <w:rFonts w:ascii="Arial" w:hAnsi="Arial"/>
              <w:sz w:val="16"/>
              <w:szCs w:val="16"/>
            </w:rPr>
          </w:pPr>
        </w:p>
        <w:p w:rsidR="00E04578" w:rsidRDefault="00E04578" w:rsidP="00D823BD">
          <w:pPr>
            <w:pStyle w:val="Heading2"/>
            <w:tabs>
              <w:tab w:val="center" w:pos="5067"/>
            </w:tabs>
            <w:ind w:right="-366"/>
            <w:jc w:val="left"/>
            <w:rPr>
              <w:rFonts w:ascii="Arial" w:hAnsi="Arial"/>
            </w:rPr>
          </w:pPr>
          <w:r w:rsidRPr="009E32E1">
            <w:rPr>
              <w:noProof/>
            </w:rPr>
            <w:drawing>
              <wp:inline distT="0" distB="0" distL="0" distR="0">
                <wp:extent cx="3672205" cy="797560"/>
                <wp:effectExtent l="0" t="0" r="4445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22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</w:rPr>
            <w:tab/>
          </w:r>
        </w:p>
        <w:p w:rsidR="00E04578" w:rsidRDefault="00E04578" w:rsidP="00D823BD">
          <w:pPr>
            <w:pStyle w:val="Heading2"/>
            <w:tabs>
              <w:tab w:val="center" w:pos="4609"/>
            </w:tabs>
            <w:ind w:right="-366"/>
            <w:jc w:val="left"/>
            <w:rPr>
              <w:rFonts w:ascii="Arial" w:hAnsi="Arial"/>
            </w:rPr>
          </w:pPr>
          <w:r>
            <w:rPr>
              <w:rFonts w:ascii="Arial" w:hAnsi="Arial"/>
            </w:rPr>
            <w:tab/>
          </w:r>
        </w:p>
        <w:p w:rsidR="00E04578" w:rsidRDefault="00E04578" w:rsidP="00D823BD">
          <w:pPr>
            <w:pStyle w:val="Heading2"/>
            <w:tabs>
              <w:tab w:val="left" w:pos="1009"/>
              <w:tab w:val="center" w:pos="5239"/>
            </w:tabs>
            <w:ind w:right="-366"/>
            <w:jc w:val="left"/>
            <w:rPr>
              <w:rFonts w:ascii="Arial" w:hAnsi="Arial" w:cs="Arial"/>
              <w:smallCaps/>
              <w:sz w:val="32"/>
            </w:rPr>
          </w:pPr>
          <w:r>
            <w:rPr>
              <w:rFonts w:ascii="Arial" w:hAnsi="Arial" w:cs="Arial"/>
              <w:smallCaps/>
              <w:sz w:val="32"/>
            </w:rPr>
            <w:tab/>
            <w:t xml:space="preserve">       Behavioral Health Services</w:t>
          </w:r>
        </w:p>
        <w:p w:rsidR="00E04578" w:rsidRPr="00E761E8" w:rsidRDefault="00E04578" w:rsidP="00D823B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761E8">
            <w:rPr>
              <w:rFonts w:ascii="Arial" w:hAnsi="Arial" w:cs="Arial"/>
              <w:b/>
              <w:sz w:val="24"/>
              <w:szCs w:val="24"/>
            </w:rPr>
            <w:t>Authority and Quality Improvement Services</w:t>
          </w:r>
        </w:p>
      </w:tc>
      <w:tc>
        <w:tcPr>
          <w:tcW w:w="3078" w:type="dxa"/>
        </w:tcPr>
        <w:p w:rsidR="00E04578" w:rsidRPr="00B15929" w:rsidRDefault="00E04578" w:rsidP="00D823BD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</w:p>
        <w:p w:rsidR="00E04578" w:rsidRPr="00A80456" w:rsidRDefault="00E04578" w:rsidP="00D823BD">
          <w:pPr>
            <w:ind w:right="12"/>
            <w:jc w:val="right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MARK A. REFOWITZ</w:t>
          </w:r>
        </w:p>
        <w:p w:rsidR="00E04578" w:rsidRPr="00F844EE" w:rsidRDefault="00E04578" w:rsidP="00D823BD">
          <w:pPr>
            <w:spacing w:after="120"/>
            <w:jc w:val="right"/>
            <w:rPr>
              <w:rFonts w:ascii="Arial" w:hAnsi="Arial"/>
              <w:sz w:val="16"/>
            </w:rPr>
          </w:pPr>
          <w:r w:rsidRPr="00F844EE">
            <w:rPr>
              <w:rFonts w:ascii="Arial" w:hAnsi="Arial"/>
              <w:sz w:val="16"/>
            </w:rPr>
            <w:t>DIRECTOR</w:t>
          </w:r>
        </w:p>
        <w:p w:rsidR="00E04578" w:rsidRPr="00D95811" w:rsidRDefault="00E04578" w:rsidP="00D823BD">
          <w:pPr>
            <w:jc w:val="right"/>
            <w:rPr>
              <w:rFonts w:ascii="Arial" w:hAnsi="Arial" w:cs="Arial"/>
              <w:b/>
              <w:bCs/>
              <w:sz w:val="16"/>
            </w:rPr>
          </w:pPr>
          <w:r w:rsidRPr="00D95811">
            <w:rPr>
              <w:rFonts w:ascii="Arial" w:hAnsi="Arial" w:cs="Arial"/>
              <w:b/>
              <w:bCs/>
              <w:sz w:val="16"/>
            </w:rPr>
            <w:t>RICHARD SANCHEZ</w:t>
          </w:r>
        </w:p>
        <w:p w:rsidR="00E04578" w:rsidRPr="00D95811" w:rsidRDefault="00E04578" w:rsidP="00D823BD">
          <w:pPr>
            <w:jc w:val="right"/>
            <w:rPr>
              <w:rFonts w:ascii="Arial" w:hAnsi="Arial" w:cs="Arial"/>
              <w:sz w:val="14"/>
            </w:rPr>
          </w:pPr>
          <w:r w:rsidRPr="00D95811">
            <w:rPr>
              <w:rFonts w:ascii="Arial" w:hAnsi="Arial" w:cs="Arial"/>
              <w:sz w:val="16"/>
            </w:rPr>
            <w:t xml:space="preserve"> ASSISTANT DIRECTOR</w:t>
          </w:r>
        </w:p>
        <w:p w:rsidR="00E04578" w:rsidRPr="003A7974" w:rsidRDefault="00E04578" w:rsidP="00D823BD">
          <w:pPr>
            <w:jc w:val="right"/>
            <w:rPr>
              <w:rFonts w:ascii="Arial" w:hAnsi="Arial"/>
              <w:b/>
              <w:sz w:val="12"/>
            </w:rPr>
          </w:pPr>
        </w:p>
        <w:p w:rsidR="00E04578" w:rsidRPr="00975173" w:rsidRDefault="00E04578" w:rsidP="00D823BD">
          <w:pPr>
            <w:pStyle w:val="Heading1"/>
            <w:ind w:right="18"/>
            <w:jc w:val="right"/>
            <w:rPr>
              <w:sz w:val="16"/>
            </w:rPr>
          </w:pPr>
          <w:r>
            <w:rPr>
              <w:sz w:val="16"/>
            </w:rPr>
            <w:t>MARY R. HALE</w:t>
          </w:r>
        </w:p>
        <w:p w:rsidR="00E04578" w:rsidRDefault="00E04578" w:rsidP="00D823BD">
          <w:pPr>
            <w:jc w:val="right"/>
            <w:rPr>
              <w:rFonts w:ascii="Arial" w:hAnsi="Arial"/>
              <w:sz w:val="14"/>
            </w:rPr>
          </w:pPr>
          <w:r w:rsidRPr="00703C8D">
            <w:rPr>
              <w:rFonts w:ascii="Arial" w:hAnsi="Arial"/>
              <w:sz w:val="14"/>
            </w:rPr>
            <w:t>DEPUTY AGENCY DIRECTOR</w:t>
          </w:r>
          <w:r>
            <w:rPr>
              <w:rFonts w:ascii="Arial" w:hAnsi="Arial"/>
              <w:sz w:val="14"/>
            </w:rPr>
            <w:t xml:space="preserve">  </w:t>
          </w:r>
        </w:p>
        <w:p w:rsidR="00E04578" w:rsidRPr="00703C8D" w:rsidRDefault="00E04578" w:rsidP="00D823BD">
          <w:pPr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BEHAVIORAL HEALTH SERVICES  </w:t>
          </w:r>
        </w:p>
        <w:p w:rsidR="00E04578" w:rsidRDefault="00E04578" w:rsidP="00D823BD">
          <w:pPr>
            <w:ind w:right="12"/>
            <w:jc w:val="center"/>
            <w:rPr>
              <w:rFonts w:ascii="Arial" w:hAnsi="Arial"/>
              <w:sz w:val="14"/>
            </w:rPr>
          </w:pPr>
        </w:p>
        <w:p w:rsidR="00E04578" w:rsidRPr="00864D69" w:rsidRDefault="00E04578" w:rsidP="00D823BD">
          <w:pPr>
            <w:jc w:val="right"/>
            <w:rPr>
              <w:rFonts w:ascii="Arial" w:hAnsi="Arial"/>
              <w:b/>
              <w:sz w:val="16"/>
              <w:szCs w:val="16"/>
            </w:rPr>
          </w:pPr>
          <w:r w:rsidRPr="00864D69">
            <w:rPr>
              <w:rFonts w:ascii="Arial" w:hAnsi="Arial"/>
              <w:b/>
              <w:sz w:val="16"/>
              <w:szCs w:val="16"/>
            </w:rPr>
            <w:t>DAVID HORNER</w:t>
          </w:r>
        </w:p>
        <w:p w:rsidR="00E04578" w:rsidRPr="00864D69" w:rsidRDefault="00E04578" w:rsidP="00D823BD">
          <w:pPr>
            <w:jc w:val="right"/>
            <w:rPr>
              <w:rFonts w:ascii="Arial" w:hAnsi="Arial"/>
              <w:sz w:val="16"/>
              <w:szCs w:val="16"/>
            </w:rPr>
          </w:pPr>
          <w:r w:rsidRPr="00864D69">
            <w:rPr>
              <w:rFonts w:ascii="Arial" w:hAnsi="Arial"/>
              <w:sz w:val="16"/>
              <w:szCs w:val="16"/>
            </w:rPr>
            <w:t>DIRECTOR</w:t>
          </w:r>
        </w:p>
        <w:p w:rsidR="00E04578" w:rsidRDefault="00E04578" w:rsidP="00D823BD">
          <w:pPr>
            <w:ind w:right="12"/>
            <w:jc w:val="right"/>
            <w:rPr>
              <w:rFonts w:ascii="Arial" w:hAnsi="Arial"/>
              <w:sz w:val="14"/>
            </w:rPr>
          </w:pPr>
        </w:p>
        <w:p w:rsidR="00E04578" w:rsidRPr="00864D69" w:rsidRDefault="00E04578" w:rsidP="00D823BD">
          <w:pPr>
            <w:jc w:val="right"/>
            <w:rPr>
              <w:rFonts w:ascii="Arial" w:hAnsi="Arial"/>
              <w:sz w:val="16"/>
              <w:szCs w:val="16"/>
            </w:rPr>
          </w:pPr>
          <w:r w:rsidRPr="00864D69">
            <w:rPr>
              <w:rFonts w:ascii="Arial" w:hAnsi="Arial"/>
              <w:sz w:val="16"/>
              <w:szCs w:val="16"/>
            </w:rPr>
            <w:t>405 W. 5</w:t>
          </w:r>
          <w:r w:rsidRPr="00864D69">
            <w:rPr>
              <w:rFonts w:ascii="Arial" w:hAnsi="Arial"/>
              <w:sz w:val="16"/>
              <w:szCs w:val="16"/>
              <w:vertAlign w:val="superscript"/>
            </w:rPr>
            <w:t>th</w:t>
          </w:r>
          <w:r w:rsidRPr="00864D69">
            <w:rPr>
              <w:rFonts w:ascii="Arial" w:hAnsi="Arial"/>
              <w:sz w:val="16"/>
              <w:szCs w:val="16"/>
            </w:rPr>
            <w:t xml:space="preserve"> STREET, 4</w:t>
          </w:r>
          <w:r w:rsidRPr="00864D69">
            <w:rPr>
              <w:rFonts w:ascii="Arial" w:hAnsi="Arial"/>
              <w:sz w:val="16"/>
              <w:szCs w:val="16"/>
              <w:vertAlign w:val="superscript"/>
            </w:rPr>
            <w:t>TH</w:t>
          </w:r>
          <w:r w:rsidRPr="00864D69">
            <w:rPr>
              <w:rFonts w:ascii="Arial" w:hAnsi="Arial"/>
              <w:sz w:val="16"/>
              <w:szCs w:val="16"/>
            </w:rPr>
            <w:t xml:space="preserve"> FLOOR</w:t>
          </w:r>
        </w:p>
        <w:p w:rsidR="00E04578" w:rsidRDefault="00E04578" w:rsidP="00D823BD">
          <w:pPr>
            <w:jc w:val="right"/>
            <w:rPr>
              <w:rFonts w:ascii="Arial" w:hAnsi="Arial"/>
              <w:sz w:val="16"/>
              <w:szCs w:val="16"/>
            </w:rPr>
          </w:pPr>
          <w:r w:rsidRPr="00864D69">
            <w:rPr>
              <w:rFonts w:ascii="Arial" w:hAnsi="Arial"/>
              <w:sz w:val="16"/>
              <w:szCs w:val="16"/>
            </w:rPr>
            <w:t>SANTA ANA, CA  92701</w:t>
          </w:r>
        </w:p>
        <w:p w:rsidR="00E04578" w:rsidRPr="00864D69" w:rsidRDefault="00E04578" w:rsidP="00D823BD">
          <w:pPr>
            <w:jc w:val="right"/>
            <w:rPr>
              <w:rFonts w:ascii="Arial" w:hAnsi="Arial"/>
              <w:sz w:val="16"/>
              <w:szCs w:val="16"/>
            </w:rPr>
          </w:pPr>
        </w:p>
        <w:p w:rsidR="00E04578" w:rsidRPr="00864D69" w:rsidRDefault="00E04578" w:rsidP="00D823BD">
          <w:pPr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(714) 834-5601</w:t>
          </w:r>
        </w:p>
        <w:p w:rsidR="00E04578" w:rsidRPr="00864D69" w:rsidRDefault="00E04578" w:rsidP="00D823BD">
          <w:pPr>
            <w:jc w:val="right"/>
            <w:rPr>
              <w:rFonts w:ascii="Arial" w:hAnsi="Arial"/>
              <w:sz w:val="16"/>
              <w:szCs w:val="16"/>
            </w:rPr>
          </w:pPr>
          <w:r w:rsidRPr="00864D69">
            <w:rPr>
              <w:rFonts w:ascii="Arial" w:hAnsi="Arial"/>
              <w:sz w:val="16"/>
              <w:szCs w:val="16"/>
            </w:rPr>
            <w:t>FAX: (714) 834-6575</w:t>
          </w:r>
        </w:p>
        <w:p w:rsidR="00E04578" w:rsidRDefault="00E04578" w:rsidP="00D823BD">
          <w:pPr>
            <w:jc w:val="right"/>
            <w:rPr>
              <w:rFonts w:ascii="Arial" w:hAnsi="Arial" w:cs="Arial"/>
              <w:b/>
              <w:sz w:val="16"/>
            </w:rPr>
          </w:pPr>
          <w:r w:rsidRPr="00864D69">
            <w:rPr>
              <w:rFonts w:ascii="Arial" w:hAnsi="Arial"/>
              <w:sz w:val="16"/>
              <w:szCs w:val="16"/>
            </w:rPr>
            <w:t>hornerdavid@ochca.com</w:t>
          </w:r>
        </w:p>
      </w:tc>
    </w:tr>
  </w:tbl>
  <w:p w:rsidR="00E04578" w:rsidRDefault="00E0457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C44"/>
    <w:multiLevelType w:val="hybridMultilevel"/>
    <w:tmpl w:val="40A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627C"/>
    <w:multiLevelType w:val="hybridMultilevel"/>
    <w:tmpl w:val="15D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5061"/>
    <w:multiLevelType w:val="hybridMultilevel"/>
    <w:tmpl w:val="AB3241F0"/>
    <w:lvl w:ilvl="0" w:tplc="282EB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61C6"/>
    <w:multiLevelType w:val="hybridMultilevel"/>
    <w:tmpl w:val="644AE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4BE2"/>
    <w:multiLevelType w:val="hybridMultilevel"/>
    <w:tmpl w:val="0818D8B8"/>
    <w:lvl w:ilvl="0" w:tplc="D892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3693D"/>
    <w:multiLevelType w:val="hybridMultilevel"/>
    <w:tmpl w:val="1688C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54"/>
    <w:rsid w:val="00001070"/>
    <w:rsid w:val="000026A0"/>
    <w:rsid w:val="000102E7"/>
    <w:rsid w:val="00012FC1"/>
    <w:rsid w:val="000246F3"/>
    <w:rsid w:val="00035622"/>
    <w:rsid w:val="00037E92"/>
    <w:rsid w:val="00041C8F"/>
    <w:rsid w:val="00042FAC"/>
    <w:rsid w:val="00051E61"/>
    <w:rsid w:val="00053F20"/>
    <w:rsid w:val="00060ED2"/>
    <w:rsid w:val="00075D23"/>
    <w:rsid w:val="000763AD"/>
    <w:rsid w:val="0007689E"/>
    <w:rsid w:val="0008483E"/>
    <w:rsid w:val="000A2875"/>
    <w:rsid w:val="000B1490"/>
    <w:rsid w:val="000C1BDF"/>
    <w:rsid w:val="000C32CD"/>
    <w:rsid w:val="000D1F85"/>
    <w:rsid w:val="000D5789"/>
    <w:rsid w:val="000D6251"/>
    <w:rsid w:val="000D6383"/>
    <w:rsid w:val="000E097A"/>
    <w:rsid w:val="000E0AC5"/>
    <w:rsid w:val="000F62F9"/>
    <w:rsid w:val="000F694D"/>
    <w:rsid w:val="000F7E6F"/>
    <w:rsid w:val="0010183E"/>
    <w:rsid w:val="00113DAA"/>
    <w:rsid w:val="001171CF"/>
    <w:rsid w:val="001172DF"/>
    <w:rsid w:val="001219B4"/>
    <w:rsid w:val="00123B01"/>
    <w:rsid w:val="00130956"/>
    <w:rsid w:val="00134AFE"/>
    <w:rsid w:val="00135490"/>
    <w:rsid w:val="001365AB"/>
    <w:rsid w:val="001412AB"/>
    <w:rsid w:val="001530DB"/>
    <w:rsid w:val="00171474"/>
    <w:rsid w:val="00173B6F"/>
    <w:rsid w:val="00174D6D"/>
    <w:rsid w:val="001765F5"/>
    <w:rsid w:val="00181120"/>
    <w:rsid w:val="001A2429"/>
    <w:rsid w:val="001A4AAD"/>
    <w:rsid w:val="001A596F"/>
    <w:rsid w:val="001A5F0B"/>
    <w:rsid w:val="001B20A7"/>
    <w:rsid w:val="001B6D71"/>
    <w:rsid w:val="001D444E"/>
    <w:rsid w:val="001D7215"/>
    <w:rsid w:val="001D7429"/>
    <w:rsid w:val="001E2D42"/>
    <w:rsid w:val="001E4842"/>
    <w:rsid w:val="001E608E"/>
    <w:rsid w:val="001F2481"/>
    <w:rsid w:val="001F2656"/>
    <w:rsid w:val="001F69AC"/>
    <w:rsid w:val="00201A89"/>
    <w:rsid w:val="00204035"/>
    <w:rsid w:val="00206BA8"/>
    <w:rsid w:val="00225B8F"/>
    <w:rsid w:val="00230E06"/>
    <w:rsid w:val="00237440"/>
    <w:rsid w:val="00240552"/>
    <w:rsid w:val="00244922"/>
    <w:rsid w:val="002452C5"/>
    <w:rsid w:val="0024589A"/>
    <w:rsid w:val="0025367C"/>
    <w:rsid w:val="002558DB"/>
    <w:rsid w:val="00263B91"/>
    <w:rsid w:val="002659F6"/>
    <w:rsid w:val="00267888"/>
    <w:rsid w:val="0027097B"/>
    <w:rsid w:val="00272EDE"/>
    <w:rsid w:val="00274056"/>
    <w:rsid w:val="00277F43"/>
    <w:rsid w:val="002A5D3E"/>
    <w:rsid w:val="002C6DD9"/>
    <w:rsid w:val="002D50C7"/>
    <w:rsid w:val="002D643D"/>
    <w:rsid w:val="002D73D9"/>
    <w:rsid w:val="003116A5"/>
    <w:rsid w:val="00316D39"/>
    <w:rsid w:val="00321D68"/>
    <w:rsid w:val="003324B3"/>
    <w:rsid w:val="0034449D"/>
    <w:rsid w:val="0035310E"/>
    <w:rsid w:val="00355CC3"/>
    <w:rsid w:val="00370EDC"/>
    <w:rsid w:val="003802E7"/>
    <w:rsid w:val="00380912"/>
    <w:rsid w:val="00391C5B"/>
    <w:rsid w:val="003A22EF"/>
    <w:rsid w:val="003B4A42"/>
    <w:rsid w:val="003B5F44"/>
    <w:rsid w:val="003B6DFE"/>
    <w:rsid w:val="003C20A5"/>
    <w:rsid w:val="003D1400"/>
    <w:rsid w:val="003D6DA5"/>
    <w:rsid w:val="003F07FA"/>
    <w:rsid w:val="003F3727"/>
    <w:rsid w:val="00403C61"/>
    <w:rsid w:val="00421DAB"/>
    <w:rsid w:val="00422855"/>
    <w:rsid w:val="00423985"/>
    <w:rsid w:val="00426B2E"/>
    <w:rsid w:val="0043147A"/>
    <w:rsid w:val="0043176B"/>
    <w:rsid w:val="004326F8"/>
    <w:rsid w:val="00432EC1"/>
    <w:rsid w:val="004367CC"/>
    <w:rsid w:val="00436D78"/>
    <w:rsid w:val="00440A5C"/>
    <w:rsid w:val="004443D6"/>
    <w:rsid w:val="00450699"/>
    <w:rsid w:val="00450E09"/>
    <w:rsid w:val="004529CA"/>
    <w:rsid w:val="00455761"/>
    <w:rsid w:val="00456BE7"/>
    <w:rsid w:val="00460D58"/>
    <w:rsid w:val="0046632F"/>
    <w:rsid w:val="00474ADA"/>
    <w:rsid w:val="00477360"/>
    <w:rsid w:val="00485D9E"/>
    <w:rsid w:val="0048752E"/>
    <w:rsid w:val="00490155"/>
    <w:rsid w:val="0049205A"/>
    <w:rsid w:val="00492F32"/>
    <w:rsid w:val="0049736D"/>
    <w:rsid w:val="004A195B"/>
    <w:rsid w:val="004B0194"/>
    <w:rsid w:val="004B18C5"/>
    <w:rsid w:val="004B3863"/>
    <w:rsid w:val="004B70B9"/>
    <w:rsid w:val="004D5F7C"/>
    <w:rsid w:val="004E699F"/>
    <w:rsid w:val="004F12C6"/>
    <w:rsid w:val="004F61E8"/>
    <w:rsid w:val="00502EC1"/>
    <w:rsid w:val="00506754"/>
    <w:rsid w:val="005110A2"/>
    <w:rsid w:val="00512833"/>
    <w:rsid w:val="00516822"/>
    <w:rsid w:val="00516EC6"/>
    <w:rsid w:val="00523AE6"/>
    <w:rsid w:val="00525950"/>
    <w:rsid w:val="005358CE"/>
    <w:rsid w:val="005361A4"/>
    <w:rsid w:val="00553127"/>
    <w:rsid w:val="00554674"/>
    <w:rsid w:val="005643A1"/>
    <w:rsid w:val="00565C48"/>
    <w:rsid w:val="00580271"/>
    <w:rsid w:val="00597F06"/>
    <w:rsid w:val="005A1518"/>
    <w:rsid w:val="005B7F01"/>
    <w:rsid w:val="005C312F"/>
    <w:rsid w:val="005D258D"/>
    <w:rsid w:val="005D47AF"/>
    <w:rsid w:val="005D6597"/>
    <w:rsid w:val="005E0EED"/>
    <w:rsid w:val="0060725A"/>
    <w:rsid w:val="00613676"/>
    <w:rsid w:val="0061419D"/>
    <w:rsid w:val="006144C3"/>
    <w:rsid w:val="00625039"/>
    <w:rsid w:val="00630D67"/>
    <w:rsid w:val="006310E2"/>
    <w:rsid w:val="00632143"/>
    <w:rsid w:val="0063359C"/>
    <w:rsid w:val="0064483B"/>
    <w:rsid w:val="006526A5"/>
    <w:rsid w:val="00686C9D"/>
    <w:rsid w:val="00691028"/>
    <w:rsid w:val="006A0A65"/>
    <w:rsid w:val="006A4875"/>
    <w:rsid w:val="006A4BE3"/>
    <w:rsid w:val="006A6D51"/>
    <w:rsid w:val="006B0AAA"/>
    <w:rsid w:val="006D283F"/>
    <w:rsid w:val="006D483B"/>
    <w:rsid w:val="006D68B0"/>
    <w:rsid w:val="006D77AB"/>
    <w:rsid w:val="006D78BD"/>
    <w:rsid w:val="006E2B11"/>
    <w:rsid w:val="006F5B16"/>
    <w:rsid w:val="0070707D"/>
    <w:rsid w:val="00715ABD"/>
    <w:rsid w:val="0072115F"/>
    <w:rsid w:val="00722626"/>
    <w:rsid w:val="0072399C"/>
    <w:rsid w:val="007334CF"/>
    <w:rsid w:val="007577FC"/>
    <w:rsid w:val="00760823"/>
    <w:rsid w:val="007665A6"/>
    <w:rsid w:val="00772C7D"/>
    <w:rsid w:val="00772D87"/>
    <w:rsid w:val="0077432B"/>
    <w:rsid w:val="0077513F"/>
    <w:rsid w:val="00780AAD"/>
    <w:rsid w:val="0078117A"/>
    <w:rsid w:val="00783549"/>
    <w:rsid w:val="00790C93"/>
    <w:rsid w:val="0079461F"/>
    <w:rsid w:val="007A2404"/>
    <w:rsid w:val="007B1FBF"/>
    <w:rsid w:val="007B70F5"/>
    <w:rsid w:val="007C2A84"/>
    <w:rsid w:val="007F5FFC"/>
    <w:rsid w:val="007F7375"/>
    <w:rsid w:val="00807E97"/>
    <w:rsid w:val="00814D00"/>
    <w:rsid w:val="008305D7"/>
    <w:rsid w:val="00842D01"/>
    <w:rsid w:val="00845486"/>
    <w:rsid w:val="008541F1"/>
    <w:rsid w:val="008635AD"/>
    <w:rsid w:val="00863F1F"/>
    <w:rsid w:val="00866247"/>
    <w:rsid w:val="00867BA9"/>
    <w:rsid w:val="008860F5"/>
    <w:rsid w:val="008914D0"/>
    <w:rsid w:val="00891593"/>
    <w:rsid w:val="00893B52"/>
    <w:rsid w:val="008A07A7"/>
    <w:rsid w:val="008A406F"/>
    <w:rsid w:val="008A799B"/>
    <w:rsid w:val="008A7ECC"/>
    <w:rsid w:val="008B080F"/>
    <w:rsid w:val="008B0B0A"/>
    <w:rsid w:val="008B36AB"/>
    <w:rsid w:val="008B3F3B"/>
    <w:rsid w:val="008C614E"/>
    <w:rsid w:val="008C6BF8"/>
    <w:rsid w:val="008D0D47"/>
    <w:rsid w:val="008D6582"/>
    <w:rsid w:val="008E0285"/>
    <w:rsid w:val="00904FCF"/>
    <w:rsid w:val="00917208"/>
    <w:rsid w:val="00923524"/>
    <w:rsid w:val="00925719"/>
    <w:rsid w:val="009362FA"/>
    <w:rsid w:val="0094101D"/>
    <w:rsid w:val="009531B8"/>
    <w:rsid w:val="0096178A"/>
    <w:rsid w:val="00965660"/>
    <w:rsid w:val="00966E7A"/>
    <w:rsid w:val="009749A3"/>
    <w:rsid w:val="009752CF"/>
    <w:rsid w:val="00976BEA"/>
    <w:rsid w:val="0098332E"/>
    <w:rsid w:val="009B3F90"/>
    <w:rsid w:val="009B40F5"/>
    <w:rsid w:val="009B4A79"/>
    <w:rsid w:val="009B6615"/>
    <w:rsid w:val="009F2525"/>
    <w:rsid w:val="009F71FF"/>
    <w:rsid w:val="00A13592"/>
    <w:rsid w:val="00A210E6"/>
    <w:rsid w:val="00A50ACC"/>
    <w:rsid w:val="00A50C3E"/>
    <w:rsid w:val="00A53745"/>
    <w:rsid w:val="00A61F51"/>
    <w:rsid w:val="00A67779"/>
    <w:rsid w:val="00A7573D"/>
    <w:rsid w:val="00A7649C"/>
    <w:rsid w:val="00A77BB2"/>
    <w:rsid w:val="00A85946"/>
    <w:rsid w:val="00A902A3"/>
    <w:rsid w:val="00AB24F4"/>
    <w:rsid w:val="00AC3624"/>
    <w:rsid w:val="00AC705C"/>
    <w:rsid w:val="00AD0EBC"/>
    <w:rsid w:val="00AD7B70"/>
    <w:rsid w:val="00AF5C39"/>
    <w:rsid w:val="00B057AB"/>
    <w:rsid w:val="00B15929"/>
    <w:rsid w:val="00B2364A"/>
    <w:rsid w:val="00B241BB"/>
    <w:rsid w:val="00B24911"/>
    <w:rsid w:val="00B42C66"/>
    <w:rsid w:val="00B53667"/>
    <w:rsid w:val="00B5736D"/>
    <w:rsid w:val="00B60681"/>
    <w:rsid w:val="00B712EA"/>
    <w:rsid w:val="00B7719C"/>
    <w:rsid w:val="00B80730"/>
    <w:rsid w:val="00B83B26"/>
    <w:rsid w:val="00B83CC6"/>
    <w:rsid w:val="00BA2C10"/>
    <w:rsid w:val="00BA39D6"/>
    <w:rsid w:val="00BB7F7A"/>
    <w:rsid w:val="00BD2684"/>
    <w:rsid w:val="00BD56C3"/>
    <w:rsid w:val="00BD5C5B"/>
    <w:rsid w:val="00BD7207"/>
    <w:rsid w:val="00BE1BD1"/>
    <w:rsid w:val="00BE77FD"/>
    <w:rsid w:val="00BF5B87"/>
    <w:rsid w:val="00C008AE"/>
    <w:rsid w:val="00C010CE"/>
    <w:rsid w:val="00C05343"/>
    <w:rsid w:val="00C07F16"/>
    <w:rsid w:val="00C1246C"/>
    <w:rsid w:val="00C1268D"/>
    <w:rsid w:val="00C248D2"/>
    <w:rsid w:val="00C24BFC"/>
    <w:rsid w:val="00C3239C"/>
    <w:rsid w:val="00C33BC4"/>
    <w:rsid w:val="00C364B4"/>
    <w:rsid w:val="00C369B6"/>
    <w:rsid w:val="00C42FD4"/>
    <w:rsid w:val="00C459DF"/>
    <w:rsid w:val="00C504C0"/>
    <w:rsid w:val="00C55C1C"/>
    <w:rsid w:val="00C605DA"/>
    <w:rsid w:val="00C829EF"/>
    <w:rsid w:val="00C84CCE"/>
    <w:rsid w:val="00C86D5A"/>
    <w:rsid w:val="00C940A8"/>
    <w:rsid w:val="00CA656C"/>
    <w:rsid w:val="00CB1C77"/>
    <w:rsid w:val="00CC1B3C"/>
    <w:rsid w:val="00CC49CF"/>
    <w:rsid w:val="00CD6B34"/>
    <w:rsid w:val="00CE3D47"/>
    <w:rsid w:val="00CE5750"/>
    <w:rsid w:val="00D101BA"/>
    <w:rsid w:val="00D168AC"/>
    <w:rsid w:val="00D34344"/>
    <w:rsid w:val="00D37D90"/>
    <w:rsid w:val="00D55DFE"/>
    <w:rsid w:val="00D566F7"/>
    <w:rsid w:val="00D644C2"/>
    <w:rsid w:val="00D701DD"/>
    <w:rsid w:val="00D73865"/>
    <w:rsid w:val="00D75430"/>
    <w:rsid w:val="00D823BD"/>
    <w:rsid w:val="00D86EB0"/>
    <w:rsid w:val="00D92949"/>
    <w:rsid w:val="00D92D48"/>
    <w:rsid w:val="00D96987"/>
    <w:rsid w:val="00DB57D2"/>
    <w:rsid w:val="00DB7C70"/>
    <w:rsid w:val="00DC229D"/>
    <w:rsid w:val="00DD4396"/>
    <w:rsid w:val="00DD5DC3"/>
    <w:rsid w:val="00DE021C"/>
    <w:rsid w:val="00DE1987"/>
    <w:rsid w:val="00DE7658"/>
    <w:rsid w:val="00DF2A48"/>
    <w:rsid w:val="00DF7FE9"/>
    <w:rsid w:val="00E00CC5"/>
    <w:rsid w:val="00E043FC"/>
    <w:rsid w:val="00E04578"/>
    <w:rsid w:val="00E04C51"/>
    <w:rsid w:val="00E11B2F"/>
    <w:rsid w:val="00E13CB8"/>
    <w:rsid w:val="00E24F78"/>
    <w:rsid w:val="00E52315"/>
    <w:rsid w:val="00E62EE2"/>
    <w:rsid w:val="00E64664"/>
    <w:rsid w:val="00E85A81"/>
    <w:rsid w:val="00E878BD"/>
    <w:rsid w:val="00E87F0A"/>
    <w:rsid w:val="00E911B4"/>
    <w:rsid w:val="00EA5792"/>
    <w:rsid w:val="00EB02A3"/>
    <w:rsid w:val="00EB0486"/>
    <w:rsid w:val="00EC49C8"/>
    <w:rsid w:val="00ED30E8"/>
    <w:rsid w:val="00EF129E"/>
    <w:rsid w:val="00EF2823"/>
    <w:rsid w:val="00EF7FA1"/>
    <w:rsid w:val="00F045EB"/>
    <w:rsid w:val="00F22E7B"/>
    <w:rsid w:val="00F42FF9"/>
    <w:rsid w:val="00F44227"/>
    <w:rsid w:val="00F50F2F"/>
    <w:rsid w:val="00F52938"/>
    <w:rsid w:val="00F81270"/>
    <w:rsid w:val="00F8406D"/>
    <w:rsid w:val="00F84B7A"/>
    <w:rsid w:val="00F925B7"/>
    <w:rsid w:val="00F9285F"/>
    <w:rsid w:val="00FA14B2"/>
    <w:rsid w:val="00FB1B72"/>
    <w:rsid w:val="00F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4CBA1D72-AB9C-4257-A1C5-C10E9A3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ind w:left="10" w:right="-366"/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0"/>
      <w:jc w:val="center"/>
      <w:outlineLvl w:val="1"/>
    </w:pPr>
    <w:rPr>
      <w:rFonts w:ascii="Palatino" w:hAnsi="Palatino"/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-260"/>
      <w:jc w:val="right"/>
      <w:outlineLvl w:val="2"/>
    </w:pPr>
    <w:rPr>
      <w:rFonts w:ascii="Palatino" w:hAnsi="Palatino"/>
      <w:b/>
      <w:sz w:val="16"/>
    </w:rPr>
  </w:style>
  <w:style w:type="paragraph" w:styleId="Heading4">
    <w:name w:val="heading 4"/>
    <w:basedOn w:val="Normal"/>
    <w:next w:val="Normal"/>
    <w:qFormat/>
    <w:pPr>
      <w:keepNext/>
      <w:ind w:left="10" w:right="174"/>
      <w:jc w:val="center"/>
      <w:outlineLvl w:val="3"/>
    </w:pPr>
    <w:rPr>
      <w:rFonts w:ascii="Palatino" w:hAnsi="Palatino"/>
      <w:b/>
      <w:sz w:val="34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ind w:left="10" w:right="-366"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jc w:val="right"/>
      <w:outlineLvl w:val="7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7573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8406D"/>
    <w:rPr>
      <w:i/>
      <w:iCs/>
    </w:rPr>
  </w:style>
  <w:style w:type="character" w:styleId="CommentReference">
    <w:name w:val="annotation reference"/>
    <w:semiHidden/>
    <w:rsid w:val="003B5F44"/>
    <w:rPr>
      <w:sz w:val="16"/>
      <w:szCs w:val="16"/>
    </w:rPr>
  </w:style>
  <w:style w:type="paragraph" w:styleId="CommentText">
    <w:name w:val="annotation text"/>
    <w:basedOn w:val="Normal"/>
    <w:semiHidden/>
    <w:rsid w:val="003B5F44"/>
  </w:style>
  <w:style w:type="paragraph" w:styleId="CommentSubject">
    <w:name w:val="annotation subject"/>
    <w:basedOn w:val="CommentText"/>
    <w:next w:val="CommentText"/>
    <w:semiHidden/>
    <w:rsid w:val="003B5F44"/>
    <w:rPr>
      <w:b/>
      <w:bCs/>
    </w:rPr>
  </w:style>
  <w:style w:type="character" w:styleId="FollowedHyperlink">
    <w:name w:val="FollowedHyperlink"/>
    <w:rsid w:val="00AC362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23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5Char">
    <w:name w:val="Heading 5 Char"/>
    <w:link w:val="Heading5"/>
    <w:rsid w:val="002D50C7"/>
    <w:rPr>
      <w:rFonts w:ascii="Arial" w:hAnsi="Arial"/>
      <w:b/>
      <w:sz w:val="18"/>
    </w:rPr>
  </w:style>
  <w:style w:type="character" w:customStyle="1" w:styleId="Heading8Char">
    <w:name w:val="Heading 8 Char"/>
    <w:link w:val="Heading8"/>
    <w:rsid w:val="002D50C7"/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unhideWhenUsed/>
    <w:qFormat/>
    <w:rsid w:val="006A0A6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13DAA"/>
  </w:style>
  <w:style w:type="character" w:customStyle="1" w:styleId="Heading1Char">
    <w:name w:val="Heading 1 Char"/>
    <w:basedOn w:val="DefaultParagraphFont"/>
    <w:link w:val="Heading1"/>
    <w:rsid w:val="00E52315"/>
    <w:rPr>
      <w:rFonts w:ascii="Arial" w:hAnsi="Arial"/>
      <w:b/>
      <w:sz w:val="26"/>
    </w:rPr>
  </w:style>
  <w:style w:type="character" w:customStyle="1" w:styleId="Heading2Char">
    <w:name w:val="Heading 2 Char"/>
    <w:basedOn w:val="DefaultParagraphFont"/>
    <w:link w:val="Heading2"/>
    <w:rsid w:val="00E52315"/>
    <w:rPr>
      <w:rFonts w:ascii="Palatino" w:hAnsi="Palatino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34C8-ADC9-4379-8365-116A2611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1008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DIRECTOR'S OFFICE LETTERHEAD</vt:lpstr>
    </vt:vector>
  </TitlesOfParts>
  <Company>Health Care Agency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DIRECTOR'S OFFICE LETTERHEAD</dc:title>
  <dc:subject/>
  <dc:creator>Health Care Agency</dc:creator>
  <cp:keywords/>
  <cp:lastModifiedBy>Fialcowitz, Anne</cp:lastModifiedBy>
  <cp:revision>2</cp:revision>
  <cp:lastPrinted>2014-11-26T17:50:00Z</cp:lastPrinted>
  <dcterms:created xsi:type="dcterms:W3CDTF">2018-08-07T17:00:00Z</dcterms:created>
  <dcterms:modified xsi:type="dcterms:W3CDTF">2018-08-07T17:00:00Z</dcterms:modified>
</cp:coreProperties>
</file>