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5A5974" w14:textId="756ABDDD" w:rsidR="00AB2CCF" w:rsidRPr="00326092" w:rsidRDefault="00683919">
      <w:pPr>
        <w:shd w:val="clear" w:color="auto" w:fill="FFFFFF"/>
        <w:jc w:val="right"/>
        <w:rPr>
          <w:rFonts w:ascii="Helvetica Neue" w:eastAsia="Helvetica Neue" w:hAnsi="Helvetica Neue" w:cs="Helvetica Neue"/>
          <w:color w:val="000000"/>
          <w:sz w:val="21"/>
          <w:szCs w:val="21"/>
        </w:rPr>
      </w:pPr>
      <w:r>
        <w:rPr>
          <w:rFonts w:ascii="Helvetica Neue" w:hAnsi="Helvetica Neue"/>
          <w:color w:val="000000"/>
        </w:rPr>
        <w:t xml:space="preserve"> </w:t>
      </w:r>
      <w:r>
        <w:rPr>
          <w:rFonts w:ascii="Helvetica Neue" w:hAnsi="Helvetica Neue"/>
          <w:color w:val="000000"/>
          <w:sz w:val="21"/>
        </w:rPr>
        <w:t xml:space="preserve">Contactos con los medios: </w:t>
      </w:r>
    </w:p>
    <w:p w14:paraId="7C2697A5" w14:textId="77777777" w:rsidR="00AB2CCF" w:rsidRPr="00326092" w:rsidRDefault="00683919">
      <w:pPr>
        <w:shd w:val="clear" w:color="auto" w:fill="FFFFFF"/>
        <w:jc w:val="right"/>
        <w:rPr>
          <w:rFonts w:ascii="Helvetica Neue" w:eastAsia="Helvetica Neue" w:hAnsi="Helvetica Neue" w:cs="Helvetica Neue"/>
          <w:color w:val="000000"/>
          <w:sz w:val="21"/>
          <w:szCs w:val="21"/>
        </w:rPr>
      </w:pPr>
      <w:r>
        <w:rPr>
          <w:rFonts w:ascii="Helvetica Neue" w:hAnsi="Helvetica Neue"/>
          <w:color w:val="000000"/>
          <w:sz w:val="21"/>
        </w:rPr>
        <w:t>Heidi Pallares</w:t>
      </w:r>
    </w:p>
    <w:p w14:paraId="6F949358" w14:textId="339B7648" w:rsidR="00AB2CCF" w:rsidRPr="00326092" w:rsidRDefault="00000000">
      <w:pPr>
        <w:shd w:val="clear" w:color="auto" w:fill="FFFFFF"/>
        <w:jc w:val="right"/>
        <w:rPr>
          <w:rFonts w:ascii="Helvetica Neue" w:eastAsia="Helvetica Neue" w:hAnsi="Helvetica Neue" w:cs="Helvetica Neue"/>
          <w:color w:val="000000"/>
          <w:sz w:val="21"/>
          <w:szCs w:val="21"/>
        </w:rPr>
      </w:pPr>
      <w:hyperlink r:id="rId10" w:history="1">
        <w:r>
          <w:rPr>
            <w:rStyle w:val="Hyperlink"/>
            <w:rFonts w:ascii="Helvetica Neue" w:hAnsi="Helvetica Neue"/>
            <w:sz w:val="21"/>
          </w:rPr>
          <w:t>hpallares@cornerstonecomms.com</w:t>
        </w:r>
      </w:hyperlink>
      <w:r>
        <w:rPr>
          <w:rFonts w:ascii="Helvetica Neue" w:hAnsi="Helvetica Neue"/>
          <w:color w:val="000000"/>
          <w:sz w:val="21"/>
        </w:rPr>
        <w:t xml:space="preserve"> </w:t>
      </w:r>
    </w:p>
    <w:p w14:paraId="31E5814B" w14:textId="77777777" w:rsidR="00AB2CCF" w:rsidRPr="00326092" w:rsidRDefault="00683919">
      <w:pPr>
        <w:shd w:val="clear" w:color="auto" w:fill="FFFFFF"/>
        <w:jc w:val="right"/>
        <w:rPr>
          <w:rFonts w:ascii="Helvetica Neue" w:eastAsia="Helvetica Neue" w:hAnsi="Helvetica Neue" w:cs="Helvetica Neue"/>
          <w:color w:val="000000"/>
          <w:sz w:val="21"/>
          <w:szCs w:val="21"/>
        </w:rPr>
      </w:pPr>
      <w:r>
        <w:rPr>
          <w:rFonts w:ascii="Helvetica Neue" w:hAnsi="Helvetica Neue"/>
          <w:color w:val="000000"/>
          <w:sz w:val="21"/>
        </w:rPr>
        <w:t>(949) 285-7278</w:t>
      </w:r>
    </w:p>
    <w:p w14:paraId="5586CC92" w14:textId="77777777" w:rsidR="00031BD4" w:rsidRPr="00326092" w:rsidRDefault="00031BD4">
      <w:pPr>
        <w:shd w:val="clear" w:color="auto" w:fill="FFFFFF"/>
        <w:jc w:val="right"/>
        <w:rPr>
          <w:rFonts w:ascii="Helvetica Neue" w:eastAsia="Helvetica Neue" w:hAnsi="Helvetica Neue" w:cs="Helvetica Neue"/>
          <w:color w:val="000000"/>
          <w:sz w:val="21"/>
          <w:szCs w:val="21"/>
          <w:lang w:val="es-US"/>
        </w:rPr>
      </w:pPr>
    </w:p>
    <w:p w14:paraId="0B88B25F" w14:textId="41F27B63" w:rsidR="00031BD4" w:rsidRPr="00326092" w:rsidRDefault="00031BD4">
      <w:pPr>
        <w:shd w:val="clear" w:color="auto" w:fill="FFFFFF"/>
        <w:jc w:val="right"/>
        <w:rPr>
          <w:rFonts w:ascii="Helvetica Neue" w:eastAsia="Helvetica Neue" w:hAnsi="Helvetica Neue" w:cs="Helvetica Neue"/>
          <w:color w:val="000000"/>
          <w:sz w:val="21"/>
          <w:szCs w:val="21"/>
        </w:rPr>
      </w:pPr>
      <w:r>
        <w:rPr>
          <w:rFonts w:ascii="Helvetica Neue" w:hAnsi="Helvetica Neue"/>
          <w:color w:val="000000"/>
          <w:sz w:val="21"/>
        </w:rPr>
        <w:t>Ellen Guevara</w:t>
      </w:r>
    </w:p>
    <w:p w14:paraId="1E5C442C" w14:textId="7FFB812E" w:rsidR="00BC1C65" w:rsidRPr="00326092" w:rsidRDefault="00000000">
      <w:pPr>
        <w:shd w:val="clear" w:color="auto" w:fill="FFFFFF"/>
        <w:jc w:val="right"/>
        <w:rPr>
          <w:rFonts w:ascii="Helvetica Neue" w:eastAsia="Helvetica Neue" w:hAnsi="Helvetica Neue" w:cs="Helvetica Neue"/>
          <w:bCs/>
          <w:color w:val="000000"/>
          <w:sz w:val="21"/>
          <w:szCs w:val="21"/>
        </w:rPr>
      </w:pPr>
      <w:hyperlink r:id="rId11" w:history="1">
        <w:r>
          <w:rPr>
            <w:rStyle w:val="Hyperlink"/>
            <w:rFonts w:ascii="Helvetica Neue" w:hAnsi="Helvetica Neue"/>
            <w:sz w:val="21"/>
          </w:rPr>
          <w:t>eguevara@ochca.com</w:t>
        </w:r>
      </w:hyperlink>
    </w:p>
    <w:p w14:paraId="56E232B3" w14:textId="13240BE0" w:rsidR="00BC1C65" w:rsidRPr="00326092" w:rsidRDefault="00BC1C65">
      <w:pPr>
        <w:shd w:val="clear" w:color="auto" w:fill="FFFFFF"/>
        <w:jc w:val="right"/>
        <w:rPr>
          <w:rFonts w:ascii="Helvetica" w:eastAsia="Helvetica Neue" w:hAnsi="Helvetica" w:cs="Helvetica Neue"/>
          <w:bCs/>
          <w:color w:val="000000"/>
          <w:sz w:val="21"/>
          <w:szCs w:val="21"/>
        </w:rPr>
      </w:pPr>
      <w:r>
        <w:rPr>
          <w:rFonts w:ascii="Helvetica" w:hAnsi="Helvetica"/>
          <w:color w:val="000000"/>
          <w:sz w:val="21"/>
        </w:rPr>
        <w:t>(714) 796-0203</w:t>
      </w:r>
    </w:p>
    <w:p w14:paraId="6139D237" w14:textId="77777777" w:rsidR="00AB2CCF" w:rsidRPr="00326092" w:rsidRDefault="00AB2CCF">
      <w:pPr>
        <w:shd w:val="clear" w:color="auto" w:fill="FFFFFF"/>
        <w:jc w:val="center"/>
        <w:rPr>
          <w:rFonts w:asciiTheme="majorHAnsi" w:eastAsia="Helvetica Neue" w:hAnsiTheme="majorHAnsi" w:cstheme="majorHAnsi"/>
          <w:b/>
        </w:rPr>
      </w:pPr>
    </w:p>
    <w:p w14:paraId="4FD9ACE2" w14:textId="109D6CC9" w:rsidR="00C80443" w:rsidRPr="00326092" w:rsidRDefault="00706A60" w:rsidP="00D558F4">
      <w:pPr>
        <w:pBdr>
          <w:top w:val="nil"/>
          <w:left w:val="nil"/>
          <w:bottom w:val="nil"/>
          <w:right w:val="nil"/>
          <w:between w:val="nil"/>
        </w:pBdr>
        <w:jc w:val="center"/>
        <w:rPr>
          <w:rFonts w:asciiTheme="majorHAnsi" w:eastAsia="Helvetica Neue" w:hAnsiTheme="majorHAnsi" w:cstheme="majorHAnsi"/>
          <w:b/>
          <w:color w:val="000000"/>
        </w:rPr>
      </w:pPr>
      <w:r>
        <w:rPr>
          <w:rFonts w:asciiTheme="majorHAnsi" w:hAnsiTheme="majorHAnsi"/>
          <w:b/>
          <w:color w:val="000000"/>
        </w:rPr>
        <w:t xml:space="preserve">El Condado de Orange invierte en servicios de salud mental y trastornos por consumo de sustancias en el nuevo campus de Irvine “Be Well OC” </w:t>
      </w:r>
    </w:p>
    <w:p w14:paraId="4BEE1613" w14:textId="4C0F02D2" w:rsidR="00AB2CCF" w:rsidRPr="00326092" w:rsidRDefault="00706A60" w:rsidP="00D558F4">
      <w:pPr>
        <w:pBdr>
          <w:top w:val="nil"/>
          <w:left w:val="nil"/>
          <w:bottom w:val="nil"/>
          <w:right w:val="nil"/>
          <w:between w:val="nil"/>
        </w:pBdr>
        <w:jc w:val="center"/>
        <w:rPr>
          <w:rFonts w:asciiTheme="majorHAnsi" w:eastAsia="Helvetica Neue" w:hAnsiTheme="majorHAnsi" w:cstheme="majorHAnsi"/>
          <w:b/>
          <w:color w:val="000000"/>
        </w:rPr>
      </w:pPr>
      <w:r>
        <w:rPr>
          <w:rFonts w:asciiTheme="majorHAnsi" w:hAnsiTheme="majorHAnsi"/>
          <w:b/>
          <w:color w:val="000000"/>
        </w:rPr>
        <w:t xml:space="preserve"> </w:t>
      </w:r>
    </w:p>
    <w:p w14:paraId="0A68BAE9" w14:textId="77777777" w:rsidR="00C80443" w:rsidRPr="00326092" w:rsidRDefault="00C80443" w:rsidP="00D558F4">
      <w:pPr>
        <w:pBdr>
          <w:top w:val="nil"/>
          <w:left w:val="nil"/>
          <w:bottom w:val="nil"/>
          <w:right w:val="nil"/>
          <w:between w:val="nil"/>
        </w:pBdr>
        <w:jc w:val="center"/>
        <w:rPr>
          <w:rFonts w:asciiTheme="majorHAnsi" w:eastAsia="Helvetica Neue" w:hAnsiTheme="majorHAnsi" w:cstheme="majorHAnsi"/>
          <w:b/>
          <w:sz w:val="16"/>
          <w:szCs w:val="16"/>
        </w:rPr>
      </w:pPr>
    </w:p>
    <w:p w14:paraId="5588ABD8" w14:textId="77777777" w:rsidR="00F87C8B" w:rsidRPr="00326092" w:rsidRDefault="00F87C8B" w:rsidP="00F87C8B">
      <w:pPr>
        <w:pBdr>
          <w:top w:val="nil"/>
          <w:left w:val="nil"/>
          <w:bottom w:val="nil"/>
          <w:right w:val="nil"/>
          <w:between w:val="nil"/>
        </w:pBdr>
        <w:ind w:left="720"/>
        <w:rPr>
          <w:rFonts w:asciiTheme="majorHAnsi" w:hAnsiTheme="majorHAnsi" w:cstheme="majorHAnsi"/>
          <w:i/>
          <w:color w:val="000000"/>
          <w:sz w:val="22"/>
          <w:szCs w:val="22"/>
        </w:rPr>
      </w:pPr>
    </w:p>
    <w:p w14:paraId="07D1BF6F" w14:textId="548EF670" w:rsidR="00AB2CCF" w:rsidRPr="00326092" w:rsidRDefault="00667225" w:rsidP="00415546">
      <w:pPr>
        <w:pBdr>
          <w:top w:val="nil"/>
          <w:left w:val="nil"/>
          <w:bottom w:val="nil"/>
          <w:right w:val="nil"/>
          <w:between w:val="nil"/>
        </w:pBdr>
        <w:ind w:left="720"/>
        <w:jc w:val="center"/>
        <w:rPr>
          <w:rFonts w:asciiTheme="majorHAnsi" w:hAnsiTheme="majorHAnsi" w:cstheme="majorHAnsi"/>
          <w:i/>
          <w:color w:val="000000"/>
          <w:sz w:val="22"/>
          <w:szCs w:val="22"/>
        </w:rPr>
      </w:pPr>
      <w:r>
        <w:rPr>
          <w:rFonts w:asciiTheme="majorHAnsi" w:hAnsiTheme="majorHAnsi"/>
          <w:i/>
          <w:color w:val="000000"/>
          <w:sz w:val="22"/>
        </w:rPr>
        <w:t xml:space="preserve">Programado para abrir en 2025, el campus servirá a niños, </w:t>
      </w:r>
      <w:r>
        <w:rPr>
          <w:rFonts w:asciiTheme="majorHAnsi" w:hAnsiTheme="majorHAnsi"/>
          <w:i/>
          <w:sz w:val="22"/>
        </w:rPr>
        <w:t xml:space="preserve">adolescentes, adultos y familias, </w:t>
      </w:r>
      <w:r>
        <w:rPr>
          <w:rFonts w:asciiTheme="majorHAnsi" w:hAnsiTheme="majorHAnsi"/>
          <w:i/>
          <w:color w:val="000000"/>
          <w:sz w:val="22"/>
        </w:rPr>
        <w:t>y brindará apoyo de bienestar integral para toda la comunidad</w:t>
      </w:r>
    </w:p>
    <w:p w14:paraId="14A9B85A" w14:textId="77777777" w:rsidR="00AB2CCF" w:rsidRPr="00326092" w:rsidRDefault="00AB2CCF">
      <w:pPr>
        <w:pBdr>
          <w:top w:val="nil"/>
          <w:left w:val="nil"/>
          <w:bottom w:val="nil"/>
          <w:right w:val="nil"/>
          <w:between w:val="nil"/>
        </w:pBdr>
        <w:rPr>
          <w:rFonts w:asciiTheme="majorHAnsi" w:eastAsia="Helvetica Neue" w:hAnsiTheme="majorHAnsi" w:cstheme="majorHAnsi"/>
          <w:i/>
          <w:sz w:val="16"/>
          <w:szCs w:val="16"/>
        </w:rPr>
      </w:pPr>
    </w:p>
    <w:p w14:paraId="28D2837D" w14:textId="77777777" w:rsidR="00AB2CCF" w:rsidRPr="00326092" w:rsidRDefault="00AB2CCF">
      <w:pPr>
        <w:pBdr>
          <w:top w:val="nil"/>
          <w:left w:val="nil"/>
          <w:bottom w:val="nil"/>
          <w:right w:val="nil"/>
          <w:between w:val="nil"/>
        </w:pBdr>
        <w:rPr>
          <w:rFonts w:asciiTheme="majorHAnsi" w:eastAsia="Helvetica Neue" w:hAnsiTheme="majorHAnsi" w:cstheme="majorHAnsi"/>
          <w:i/>
          <w:sz w:val="16"/>
          <w:szCs w:val="16"/>
        </w:rPr>
      </w:pPr>
    </w:p>
    <w:p w14:paraId="0BE39F0D" w14:textId="445DE732" w:rsidR="002D72E5" w:rsidRPr="00326092" w:rsidRDefault="00F93875" w:rsidP="00951823">
      <w:pPr>
        <w:pBdr>
          <w:top w:val="nil"/>
          <w:left w:val="nil"/>
          <w:bottom w:val="nil"/>
          <w:right w:val="nil"/>
          <w:between w:val="nil"/>
        </w:pBdr>
        <w:rPr>
          <w:rFonts w:asciiTheme="majorHAnsi" w:eastAsia="Helvetica Neue" w:hAnsiTheme="majorHAnsi" w:cstheme="majorHAnsi"/>
          <w:color w:val="000000"/>
          <w:sz w:val="22"/>
          <w:szCs w:val="22"/>
        </w:rPr>
      </w:pPr>
      <w:r>
        <w:rPr>
          <w:rFonts w:asciiTheme="majorHAnsi" w:hAnsiTheme="majorHAnsi"/>
          <w:b/>
          <w:sz w:val="22"/>
        </w:rPr>
        <w:t>Santa Ana</w:t>
      </w:r>
      <w:r>
        <w:rPr>
          <w:rFonts w:asciiTheme="majorHAnsi" w:hAnsiTheme="majorHAnsi"/>
          <w:b/>
          <w:color w:val="000000"/>
          <w:sz w:val="22"/>
        </w:rPr>
        <w:t xml:space="preserve">, CA. </w:t>
      </w:r>
      <w:r>
        <w:rPr>
          <w:rFonts w:asciiTheme="majorHAnsi" w:hAnsiTheme="majorHAnsi"/>
          <w:b/>
          <w:sz w:val="22"/>
        </w:rPr>
        <w:t>14 de junio</w:t>
      </w:r>
      <w:r w:rsidR="00905EDC">
        <w:rPr>
          <w:rFonts w:asciiTheme="majorHAnsi" w:hAnsiTheme="majorHAnsi"/>
          <w:b/>
          <w:sz w:val="22"/>
        </w:rPr>
        <w:t xml:space="preserve"> </w:t>
      </w:r>
      <w:r>
        <w:rPr>
          <w:rFonts w:asciiTheme="majorHAnsi" w:hAnsiTheme="majorHAnsi"/>
          <w:b/>
          <w:color w:val="000000"/>
          <w:sz w:val="22"/>
        </w:rPr>
        <w:t>de 2024 –</w:t>
      </w:r>
      <w:r>
        <w:rPr>
          <w:rFonts w:asciiTheme="majorHAnsi" w:hAnsiTheme="majorHAnsi"/>
          <w:color w:val="000000"/>
          <w:sz w:val="22"/>
        </w:rPr>
        <w:t xml:space="preserve"> La Junta de Supervisores del Condado de Orange aprobó de manera </w:t>
      </w:r>
      <w:r w:rsidR="00905EDC">
        <w:rPr>
          <w:rFonts w:asciiTheme="majorHAnsi" w:hAnsiTheme="majorHAnsi"/>
          <w:color w:val="000000"/>
          <w:sz w:val="22"/>
        </w:rPr>
        <w:t>unánime</w:t>
      </w:r>
      <w:r>
        <w:rPr>
          <w:rFonts w:asciiTheme="majorHAnsi" w:hAnsiTheme="majorHAnsi"/>
          <w:color w:val="000000"/>
          <w:sz w:val="22"/>
        </w:rPr>
        <w:t xml:space="preserve"> un Acuerdo Maestro de Servicios (MSA, por sus siglas en inglés) con Mind OC, la organización sin fines de lucro según el artículo 501c3 que es el agente fiscal de fondos públicos y privados para apoyar a Be Well OC, el 21 de mayo de 2024. La aprobación permite a Be Well OC ampliar su provisión de una amplia gama de servicios críticos e integrales de salud mental y trastornos por consumo de sustancias a los residentes del Condado de Orange en colaboración con el Sistema de Salud Conductual de la Agencia de Cuidado de la Salud (HCA) del Condado de Orange.</w:t>
      </w:r>
    </w:p>
    <w:p w14:paraId="7977FDC6" w14:textId="77777777" w:rsidR="00D558F4" w:rsidRPr="00326092" w:rsidRDefault="00D558F4" w:rsidP="00951823">
      <w:pPr>
        <w:pBdr>
          <w:top w:val="nil"/>
          <w:left w:val="nil"/>
          <w:bottom w:val="nil"/>
          <w:right w:val="nil"/>
          <w:between w:val="nil"/>
        </w:pBdr>
        <w:rPr>
          <w:rFonts w:asciiTheme="majorHAnsi" w:eastAsia="Helvetica Neue" w:hAnsiTheme="majorHAnsi" w:cstheme="majorHAnsi"/>
          <w:color w:val="000000"/>
          <w:sz w:val="22"/>
          <w:szCs w:val="22"/>
        </w:rPr>
      </w:pPr>
    </w:p>
    <w:p w14:paraId="52095720" w14:textId="43EC959F" w:rsidR="00E2260A" w:rsidRDefault="00AC4931">
      <w:pPr>
        <w:pBdr>
          <w:top w:val="nil"/>
          <w:left w:val="nil"/>
          <w:bottom w:val="nil"/>
          <w:right w:val="nil"/>
          <w:between w:val="nil"/>
        </w:pBdr>
        <w:rPr>
          <w:rFonts w:asciiTheme="majorHAnsi" w:eastAsia="Helvetica Neue" w:hAnsiTheme="majorHAnsi" w:cstheme="majorHAnsi"/>
          <w:sz w:val="22"/>
          <w:szCs w:val="22"/>
        </w:rPr>
      </w:pPr>
      <w:r>
        <w:rPr>
          <w:rFonts w:asciiTheme="majorHAnsi" w:hAnsiTheme="majorHAnsi"/>
          <w:sz w:val="22"/>
        </w:rPr>
        <w:t xml:space="preserve">“El Condado de Orange es un lugar donde los miembros de la comunidad pueden encontrar apoyo, recursos y esperanza en su viaje hacia el bienestar de la salud mental. Estoy agradecido de que podamos extender el alcance del Sistema de Salud Conductual de nuestro Condado”, dijo el </w:t>
      </w:r>
      <w:r>
        <w:rPr>
          <w:rFonts w:asciiTheme="majorHAnsi" w:hAnsiTheme="majorHAnsi"/>
          <w:b/>
          <w:sz w:val="22"/>
        </w:rPr>
        <w:t>presidente Donald P. Wagner</w:t>
      </w:r>
      <w:r>
        <w:rPr>
          <w:rFonts w:asciiTheme="majorHAnsi" w:hAnsiTheme="majorHAnsi"/>
          <w:sz w:val="22"/>
        </w:rPr>
        <w:t>, de la Junta de Supervisores de OC, Tercer Distrito. “Nuestra asociación en expansión con los campus de Be Well proporcionará los mejores servicios clínicos de su clase para la salud mental y el consumo de sustancias para niños, adolescentes, adultos y familias”.</w:t>
      </w:r>
    </w:p>
    <w:p w14:paraId="126E010D" w14:textId="77777777" w:rsidR="00AC4931" w:rsidRPr="00326092" w:rsidRDefault="00AC4931">
      <w:pPr>
        <w:pBdr>
          <w:top w:val="nil"/>
          <w:left w:val="nil"/>
          <w:bottom w:val="nil"/>
          <w:right w:val="nil"/>
          <w:between w:val="nil"/>
        </w:pBdr>
        <w:rPr>
          <w:rFonts w:asciiTheme="majorHAnsi" w:eastAsia="Helvetica Neue" w:hAnsiTheme="majorHAnsi" w:cstheme="majorHAnsi"/>
          <w:color w:val="000000"/>
          <w:sz w:val="22"/>
          <w:szCs w:val="22"/>
        </w:rPr>
      </w:pPr>
    </w:p>
    <w:p w14:paraId="4BFEB8C5" w14:textId="41198236" w:rsidR="0043646D" w:rsidRPr="00326092" w:rsidRDefault="0043646D">
      <w:pPr>
        <w:pBdr>
          <w:top w:val="nil"/>
          <w:left w:val="nil"/>
          <w:bottom w:val="nil"/>
          <w:right w:val="nil"/>
          <w:between w:val="nil"/>
        </w:pBdr>
        <w:rPr>
          <w:rFonts w:asciiTheme="majorHAnsi" w:eastAsia="Helvetica Neue" w:hAnsiTheme="majorHAnsi" w:cstheme="majorHAnsi"/>
          <w:color w:val="000000"/>
          <w:sz w:val="22"/>
          <w:szCs w:val="22"/>
        </w:rPr>
      </w:pPr>
      <w:r>
        <w:rPr>
          <w:rFonts w:asciiTheme="majorHAnsi" w:hAnsiTheme="majorHAnsi"/>
          <w:color w:val="000000"/>
          <w:sz w:val="22"/>
        </w:rPr>
        <w:t>Los servicios financiados por el MSA que se proporcionarán en el campus de Be Well en Irvine incluyen:</w:t>
      </w:r>
    </w:p>
    <w:p w14:paraId="250B4DD4" w14:textId="755BAE52" w:rsidR="0043646D" w:rsidRPr="00326092" w:rsidRDefault="0043646D" w:rsidP="00032511">
      <w:pPr>
        <w:pStyle w:val="ListParagraph"/>
        <w:numPr>
          <w:ilvl w:val="0"/>
          <w:numId w:val="2"/>
        </w:numPr>
        <w:pBdr>
          <w:top w:val="nil"/>
          <w:left w:val="nil"/>
          <w:bottom w:val="nil"/>
          <w:right w:val="nil"/>
          <w:between w:val="nil"/>
        </w:pBdr>
        <w:rPr>
          <w:rFonts w:asciiTheme="majorHAnsi" w:eastAsia="Helvetica Neue" w:hAnsiTheme="majorHAnsi" w:cstheme="majorHAnsi"/>
          <w:color w:val="000000"/>
          <w:sz w:val="22"/>
          <w:szCs w:val="22"/>
        </w:rPr>
      </w:pPr>
      <w:r>
        <w:rPr>
          <w:rFonts w:asciiTheme="majorHAnsi" w:hAnsiTheme="majorHAnsi"/>
          <w:b/>
          <w:color w:val="000000"/>
          <w:sz w:val="22"/>
        </w:rPr>
        <w:t>Centro de sobriedad</w:t>
      </w:r>
      <w:r>
        <w:rPr>
          <w:rFonts w:asciiTheme="majorHAnsi" w:hAnsiTheme="majorHAnsi"/>
          <w:color w:val="000000"/>
          <w:sz w:val="22"/>
        </w:rPr>
        <w:t xml:space="preserve"> </w:t>
      </w:r>
    </w:p>
    <w:p w14:paraId="1BA9D423" w14:textId="593B6491" w:rsidR="0043646D" w:rsidRPr="00326092" w:rsidRDefault="0043646D" w:rsidP="00032511">
      <w:pPr>
        <w:pStyle w:val="ListParagraph"/>
        <w:numPr>
          <w:ilvl w:val="0"/>
          <w:numId w:val="2"/>
        </w:numPr>
        <w:pBdr>
          <w:top w:val="nil"/>
          <w:left w:val="nil"/>
          <w:bottom w:val="nil"/>
          <w:right w:val="nil"/>
          <w:between w:val="nil"/>
        </w:pBdr>
        <w:rPr>
          <w:rFonts w:asciiTheme="majorHAnsi" w:eastAsia="Helvetica Neue" w:hAnsiTheme="majorHAnsi" w:cstheme="majorHAnsi"/>
          <w:color w:val="000000"/>
          <w:sz w:val="22"/>
          <w:szCs w:val="22"/>
        </w:rPr>
      </w:pPr>
      <w:r>
        <w:rPr>
          <w:rFonts w:asciiTheme="majorHAnsi" w:hAnsiTheme="majorHAnsi"/>
          <w:b/>
          <w:color w:val="000000"/>
          <w:sz w:val="22"/>
        </w:rPr>
        <w:t>Manejo de abstinencia clínicamente administrado para adultos</w:t>
      </w:r>
      <w:r>
        <w:rPr>
          <w:rFonts w:asciiTheme="majorHAnsi" w:hAnsiTheme="majorHAnsi"/>
          <w:color w:val="000000"/>
          <w:sz w:val="22"/>
        </w:rPr>
        <w:t xml:space="preserve"> </w:t>
      </w:r>
    </w:p>
    <w:p w14:paraId="20C123D6" w14:textId="01643648" w:rsidR="0043646D" w:rsidRPr="00326092" w:rsidRDefault="0043646D" w:rsidP="00043A32">
      <w:pPr>
        <w:pStyle w:val="ListParagraph"/>
        <w:numPr>
          <w:ilvl w:val="0"/>
          <w:numId w:val="2"/>
        </w:numPr>
        <w:pBdr>
          <w:top w:val="nil"/>
          <w:left w:val="nil"/>
          <w:bottom w:val="nil"/>
          <w:right w:val="nil"/>
          <w:between w:val="nil"/>
        </w:pBdr>
        <w:rPr>
          <w:rFonts w:asciiTheme="majorHAnsi" w:eastAsia="Helvetica Neue" w:hAnsiTheme="majorHAnsi" w:cstheme="majorHAnsi"/>
          <w:color w:val="000000"/>
          <w:sz w:val="22"/>
          <w:szCs w:val="22"/>
        </w:rPr>
      </w:pPr>
      <w:r>
        <w:rPr>
          <w:rFonts w:asciiTheme="majorHAnsi" w:hAnsiTheme="majorHAnsi"/>
          <w:b/>
          <w:color w:val="000000"/>
          <w:sz w:val="22"/>
        </w:rPr>
        <w:t>Tratamiento residencial de trastorno por consumo de sustancias (SUD, por sus siglas en inglés) para adultos</w:t>
      </w:r>
      <w:r w:rsidR="00905EDC">
        <w:rPr>
          <w:rFonts w:asciiTheme="majorHAnsi" w:hAnsiTheme="majorHAnsi"/>
          <w:b/>
          <w:color w:val="000000"/>
          <w:sz w:val="22"/>
        </w:rPr>
        <w:t xml:space="preserve"> </w:t>
      </w:r>
    </w:p>
    <w:p w14:paraId="2ED23091" w14:textId="7C67495A" w:rsidR="00EF2BED" w:rsidRPr="00326092" w:rsidRDefault="0043646D" w:rsidP="00043A32">
      <w:pPr>
        <w:pStyle w:val="ListParagraph"/>
        <w:numPr>
          <w:ilvl w:val="0"/>
          <w:numId w:val="2"/>
        </w:numPr>
        <w:pBdr>
          <w:top w:val="nil"/>
          <w:left w:val="nil"/>
          <w:bottom w:val="nil"/>
          <w:right w:val="nil"/>
          <w:between w:val="nil"/>
        </w:pBdr>
        <w:rPr>
          <w:rFonts w:asciiTheme="majorHAnsi" w:eastAsia="Helvetica Neue" w:hAnsiTheme="majorHAnsi" w:cstheme="majorHAnsi"/>
          <w:color w:val="000000"/>
          <w:sz w:val="22"/>
          <w:szCs w:val="22"/>
        </w:rPr>
      </w:pPr>
      <w:r>
        <w:rPr>
          <w:rFonts w:asciiTheme="majorHAnsi" w:hAnsiTheme="majorHAnsi"/>
          <w:b/>
          <w:color w:val="000000"/>
          <w:sz w:val="22"/>
        </w:rPr>
        <w:t>Tratamiento residencial concurrente para adultos</w:t>
      </w:r>
      <w:r>
        <w:rPr>
          <w:rFonts w:asciiTheme="majorHAnsi" w:hAnsiTheme="majorHAnsi"/>
          <w:color w:val="000000"/>
          <w:sz w:val="22"/>
        </w:rPr>
        <w:t xml:space="preserve"> </w:t>
      </w:r>
    </w:p>
    <w:p w14:paraId="41647DB9" w14:textId="6A055BEE" w:rsidR="00EF2BED" w:rsidRPr="00326092" w:rsidRDefault="0043646D" w:rsidP="00EF2BED">
      <w:pPr>
        <w:pStyle w:val="ListParagraph"/>
        <w:numPr>
          <w:ilvl w:val="0"/>
          <w:numId w:val="2"/>
        </w:numPr>
        <w:pBdr>
          <w:top w:val="nil"/>
          <w:left w:val="nil"/>
          <w:bottom w:val="nil"/>
          <w:right w:val="nil"/>
          <w:between w:val="nil"/>
        </w:pBdr>
        <w:rPr>
          <w:rFonts w:asciiTheme="majorHAnsi" w:eastAsia="Helvetica Neue" w:hAnsiTheme="majorHAnsi" w:cstheme="majorHAnsi"/>
          <w:color w:val="000000"/>
          <w:sz w:val="22"/>
          <w:szCs w:val="22"/>
        </w:rPr>
      </w:pPr>
      <w:r>
        <w:rPr>
          <w:rFonts w:asciiTheme="majorHAnsi" w:hAnsiTheme="majorHAnsi"/>
          <w:b/>
          <w:color w:val="000000"/>
          <w:sz w:val="22"/>
        </w:rPr>
        <w:t>Tratamiento de SUD residencial para adolescentes</w:t>
      </w:r>
      <w:r>
        <w:rPr>
          <w:rFonts w:asciiTheme="majorHAnsi" w:hAnsiTheme="majorHAnsi"/>
          <w:color w:val="000000"/>
          <w:sz w:val="22"/>
        </w:rPr>
        <w:t xml:space="preserve"> </w:t>
      </w:r>
    </w:p>
    <w:p w14:paraId="2F54B6E4" w14:textId="4E6E7483" w:rsidR="00EF2BED" w:rsidRPr="00326092" w:rsidRDefault="00714655" w:rsidP="00EF2BED">
      <w:pPr>
        <w:pStyle w:val="ListParagraph"/>
        <w:numPr>
          <w:ilvl w:val="0"/>
          <w:numId w:val="2"/>
        </w:numPr>
        <w:pBdr>
          <w:top w:val="nil"/>
          <w:left w:val="nil"/>
          <w:bottom w:val="nil"/>
          <w:right w:val="nil"/>
          <w:between w:val="nil"/>
        </w:pBdr>
        <w:rPr>
          <w:rFonts w:asciiTheme="majorHAnsi" w:eastAsia="Helvetica Neue" w:hAnsiTheme="majorHAnsi" w:cstheme="majorHAnsi"/>
          <w:color w:val="000000"/>
          <w:sz w:val="22"/>
          <w:szCs w:val="22"/>
        </w:rPr>
      </w:pPr>
      <w:r>
        <w:rPr>
          <w:rFonts w:asciiTheme="majorHAnsi" w:hAnsiTheme="majorHAnsi"/>
          <w:b/>
          <w:color w:val="000000"/>
          <w:sz w:val="22"/>
        </w:rPr>
        <w:t>Tratamiento residencial perinatal de SUD</w:t>
      </w:r>
      <w:r w:rsidR="00905EDC">
        <w:rPr>
          <w:rFonts w:asciiTheme="majorHAnsi" w:hAnsiTheme="majorHAnsi"/>
          <w:b/>
          <w:color w:val="000000"/>
          <w:sz w:val="22"/>
        </w:rPr>
        <w:t xml:space="preserve"> </w:t>
      </w:r>
    </w:p>
    <w:p w14:paraId="75BDF280" w14:textId="09474F9A" w:rsidR="00714655" w:rsidRPr="00326092" w:rsidRDefault="00714655" w:rsidP="00032511">
      <w:pPr>
        <w:pStyle w:val="ListParagraph"/>
        <w:numPr>
          <w:ilvl w:val="0"/>
          <w:numId w:val="2"/>
        </w:numPr>
        <w:pBdr>
          <w:top w:val="nil"/>
          <w:left w:val="nil"/>
          <w:bottom w:val="nil"/>
          <w:right w:val="nil"/>
          <w:between w:val="nil"/>
        </w:pBdr>
        <w:rPr>
          <w:rFonts w:asciiTheme="majorHAnsi" w:eastAsia="Helvetica Neue" w:hAnsiTheme="majorHAnsi" w:cstheme="majorHAnsi"/>
          <w:color w:val="000000"/>
          <w:sz w:val="22"/>
          <w:szCs w:val="22"/>
        </w:rPr>
      </w:pPr>
      <w:r>
        <w:rPr>
          <w:rFonts w:asciiTheme="majorHAnsi" w:hAnsiTheme="majorHAnsi"/>
          <w:b/>
          <w:color w:val="000000"/>
          <w:sz w:val="22"/>
        </w:rPr>
        <w:t>Unidad de Estabilización de Crisis (CSU) para adultos</w:t>
      </w:r>
      <w:r>
        <w:rPr>
          <w:rFonts w:asciiTheme="majorHAnsi" w:hAnsiTheme="majorHAnsi"/>
          <w:color w:val="000000"/>
          <w:sz w:val="22"/>
        </w:rPr>
        <w:t xml:space="preserve"> </w:t>
      </w:r>
    </w:p>
    <w:p w14:paraId="519DB56E" w14:textId="56D7A743" w:rsidR="00032511" w:rsidRPr="00326092" w:rsidRDefault="00714655" w:rsidP="00032511">
      <w:pPr>
        <w:pStyle w:val="ListParagraph"/>
        <w:numPr>
          <w:ilvl w:val="0"/>
          <w:numId w:val="2"/>
        </w:numPr>
        <w:pBdr>
          <w:top w:val="nil"/>
          <w:left w:val="nil"/>
          <w:bottom w:val="nil"/>
          <w:right w:val="nil"/>
          <w:between w:val="nil"/>
        </w:pBdr>
        <w:rPr>
          <w:rFonts w:asciiTheme="majorHAnsi" w:eastAsia="Helvetica Neue" w:hAnsiTheme="majorHAnsi" w:cstheme="majorHAnsi"/>
          <w:color w:val="000000"/>
          <w:sz w:val="22"/>
          <w:szCs w:val="22"/>
        </w:rPr>
      </w:pPr>
      <w:r>
        <w:rPr>
          <w:rFonts w:asciiTheme="majorHAnsi" w:hAnsiTheme="majorHAnsi"/>
          <w:b/>
          <w:color w:val="000000"/>
          <w:sz w:val="22"/>
        </w:rPr>
        <w:t>Unidad de Estabilización de Crisis (CSU) para niños</w:t>
      </w:r>
    </w:p>
    <w:p w14:paraId="55E6EBAA" w14:textId="77777777" w:rsidR="005329FF" w:rsidRPr="00326092" w:rsidRDefault="005329FF" w:rsidP="005329FF">
      <w:pPr>
        <w:pStyle w:val="ListParagraph"/>
        <w:pBdr>
          <w:top w:val="nil"/>
          <w:left w:val="nil"/>
          <w:bottom w:val="nil"/>
          <w:right w:val="nil"/>
          <w:between w:val="nil"/>
        </w:pBdr>
        <w:rPr>
          <w:rFonts w:asciiTheme="majorHAnsi" w:eastAsia="Helvetica Neue" w:hAnsiTheme="majorHAnsi" w:cstheme="majorHAnsi"/>
          <w:color w:val="000000"/>
          <w:sz w:val="22"/>
          <w:szCs w:val="22"/>
        </w:rPr>
      </w:pPr>
    </w:p>
    <w:p w14:paraId="7A430040" w14:textId="6239F4F5" w:rsidR="00E2260A" w:rsidRDefault="0020252F" w:rsidP="00A916E9">
      <w:pPr>
        <w:rPr>
          <w:rFonts w:asciiTheme="majorHAnsi" w:eastAsia="Helvetica Neue" w:hAnsiTheme="majorHAnsi" w:cstheme="majorHAnsi"/>
          <w:sz w:val="22"/>
          <w:szCs w:val="22"/>
        </w:rPr>
      </w:pPr>
      <w:r>
        <w:rPr>
          <w:rFonts w:asciiTheme="majorHAnsi" w:hAnsiTheme="majorHAnsi"/>
          <w:sz w:val="22"/>
        </w:rPr>
        <w:t xml:space="preserve">“El Condado de Orange está liderando el camino en Salud Conductual con la expansión de Be Well OC, ubicando conjuntamente servicios de atención de salud mental y trastornos por consumo de sustancias bajo </w:t>
      </w:r>
      <w:r>
        <w:rPr>
          <w:rFonts w:asciiTheme="majorHAnsi" w:hAnsiTheme="majorHAnsi"/>
          <w:sz w:val="22"/>
        </w:rPr>
        <w:lastRenderedPageBreak/>
        <w:t xml:space="preserve">un mismo techo, algo que aún no se ha hecho en el estado”, dijo el </w:t>
      </w:r>
      <w:r>
        <w:rPr>
          <w:rFonts w:asciiTheme="majorHAnsi" w:hAnsiTheme="majorHAnsi"/>
          <w:b/>
          <w:sz w:val="22"/>
        </w:rPr>
        <w:t>vicepresidente Doug Chaffee</w:t>
      </w:r>
      <w:r>
        <w:rPr>
          <w:rFonts w:asciiTheme="majorHAnsi" w:hAnsiTheme="majorHAnsi"/>
          <w:sz w:val="22"/>
        </w:rPr>
        <w:t>, de la Junta de Supervisores de OC, Cuarto Distrito. “Estamos rompiendo barreras para acceder a servicios de salud mental y servir como un modelo para otros condados”.</w:t>
      </w:r>
    </w:p>
    <w:p w14:paraId="4E2A1D82" w14:textId="77777777" w:rsidR="0020252F" w:rsidRPr="00326092" w:rsidRDefault="0020252F" w:rsidP="00A916E9">
      <w:pPr>
        <w:rPr>
          <w:rFonts w:asciiTheme="majorHAnsi" w:eastAsia="Helvetica Neue" w:hAnsiTheme="majorHAnsi" w:cstheme="majorHAnsi"/>
          <w:sz w:val="22"/>
          <w:szCs w:val="22"/>
        </w:rPr>
      </w:pPr>
    </w:p>
    <w:p w14:paraId="46202304" w14:textId="30C4E68E" w:rsidR="00951823" w:rsidRPr="00326092" w:rsidRDefault="00951823" w:rsidP="00DC0D0A">
      <w:pPr>
        <w:rPr>
          <w:rFonts w:asciiTheme="majorHAnsi" w:eastAsia="Helvetica Neue" w:hAnsiTheme="majorHAnsi" w:cstheme="majorHAnsi"/>
          <w:sz w:val="22"/>
          <w:szCs w:val="22"/>
        </w:rPr>
      </w:pPr>
      <w:r>
        <w:rPr>
          <w:rFonts w:asciiTheme="majorHAnsi" w:hAnsiTheme="majorHAnsi"/>
          <w:sz w:val="22"/>
        </w:rPr>
        <w:t>El campus de Irvine, actualmente en construcción y programado para abrir en mayo de 2025, ha sido apoyado por una variedad de partes interesadas y socios. La Junta de Supervisores aprobó USD 40 millones para la construcción del campus de Irvine. Además, USD 15 millones fueron aprobados por la Junta Directiva de CalOptima Health, USD 37,6 millones en financiamiento de subvención del Programa de Infraestructura Continua de Salud Conductual (BHCIP) del Estado de California (asegurado por la Agencia del Cuidado de la Salud del Condado de Orange), USD 12 millones para capital fueron asegurados por la asambleísta Cottie Petrie-Norris, USD 2 millones en dólares federales fueron asegurados por el congresista Lou Correa (CA-46) en el proyecto de ley de asignaciones ómnibus del año fiscal 2023 (FY23), junto con inversiones adicionales de MemorialCare, Hoag y Kaiser Permanente. </w:t>
      </w:r>
    </w:p>
    <w:p w14:paraId="395E41B1" w14:textId="77777777" w:rsidR="00951823" w:rsidRPr="00326092" w:rsidRDefault="00951823">
      <w:pPr>
        <w:pBdr>
          <w:top w:val="nil"/>
          <w:left w:val="nil"/>
          <w:bottom w:val="nil"/>
          <w:right w:val="nil"/>
          <w:between w:val="nil"/>
        </w:pBdr>
        <w:rPr>
          <w:rFonts w:asciiTheme="majorHAnsi" w:eastAsia="Helvetica Neue" w:hAnsiTheme="majorHAnsi" w:cstheme="majorHAnsi"/>
          <w:color w:val="000000"/>
          <w:sz w:val="22"/>
          <w:szCs w:val="22"/>
        </w:rPr>
      </w:pPr>
    </w:p>
    <w:p w14:paraId="6DBEA9A0" w14:textId="1470B28A" w:rsidR="00E2260A" w:rsidRDefault="008958DC">
      <w:pPr>
        <w:rPr>
          <w:rFonts w:asciiTheme="majorHAnsi" w:eastAsia="Helvetica Neue" w:hAnsiTheme="majorHAnsi" w:cstheme="majorHAnsi"/>
          <w:sz w:val="22"/>
          <w:szCs w:val="22"/>
        </w:rPr>
      </w:pPr>
      <w:r>
        <w:rPr>
          <w:rFonts w:asciiTheme="majorHAnsi" w:hAnsiTheme="majorHAnsi"/>
          <w:sz w:val="22"/>
        </w:rPr>
        <w:t>“En 2015, a través del Comité</w:t>
      </w:r>
      <w:r>
        <w:rPr>
          <w:rFonts w:asciiTheme="majorHAnsi" w:hAnsiTheme="majorHAnsi"/>
          <w:i/>
          <w:iCs/>
          <w:sz w:val="22"/>
        </w:rPr>
        <w:t xml:space="preserve"> ad hoc</w:t>
      </w:r>
      <w:r>
        <w:rPr>
          <w:rFonts w:asciiTheme="majorHAnsi" w:hAnsiTheme="majorHAnsi"/>
          <w:sz w:val="22"/>
        </w:rPr>
        <w:t xml:space="preserve"> de la Junta de Supervisores de Salud Mental del Condado de Orange, reexaminamos los servicios locales de salud mental, lo que llevó a la creación del primer campus de Be Well OC en Orange”, dijo el </w:t>
      </w:r>
      <w:r>
        <w:rPr>
          <w:rFonts w:asciiTheme="majorHAnsi" w:hAnsiTheme="majorHAnsi"/>
          <w:b/>
          <w:sz w:val="22"/>
        </w:rPr>
        <w:t>supervisor Andrew Do</w:t>
      </w:r>
      <w:r>
        <w:rPr>
          <w:rFonts w:asciiTheme="majorHAnsi" w:hAnsiTheme="majorHAnsi"/>
          <w:sz w:val="22"/>
        </w:rPr>
        <w:t xml:space="preserve">, Primer Distrito. “Con esta segunda instalación sustancialmente más grande en Irvine, Be </w:t>
      </w:r>
      <w:r w:rsidR="00905EDC">
        <w:rPr>
          <w:rFonts w:asciiTheme="majorHAnsi" w:hAnsiTheme="majorHAnsi"/>
          <w:sz w:val="22"/>
        </w:rPr>
        <w:t>W</w:t>
      </w:r>
      <w:r>
        <w:rPr>
          <w:rFonts w:asciiTheme="majorHAnsi" w:hAnsiTheme="majorHAnsi"/>
          <w:sz w:val="22"/>
        </w:rPr>
        <w:t>ell OC ha consolidado su lugar como un modelo de asociación público-privada para nuestro estado y el resto del país”.</w:t>
      </w:r>
    </w:p>
    <w:p w14:paraId="3479907F" w14:textId="77777777" w:rsidR="008958DC" w:rsidRPr="00326092" w:rsidRDefault="008958DC">
      <w:pPr>
        <w:rPr>
          <w:rFonts w:asciiTheme="majorHAnsi" w:eastAsia="Helvetica Neue" w:hAnsiTheme="majorHAnsi" w:cstheme="majorHAnsi"/>
          <w:sz w:val="22"/>
          <w:szCs w:val="22"/>
        </w:rPr>
      </w:pPr>
    </w:p>
    <w:p w14:paraId="751DDF06" w14:textId="62EA08C9" w:rsidR="00AB2CCF" w:rsidRPr="00326092" w:rsidRDefault="00683919">
      <w:pPr>
        <w:rPr>
          <w:rFonts w:asciiTheme="majorHAnsi" w:eastAsia="Helvetica Neue" w:hAnsiTheme="majorHAnsi" w:cstheme="majorHAnsi"/>
          <w:sz w:val="22"/>
          <w:szCs w:val="22"/>
        </w:rPr>
      </w:pPr>
      <w:r>
        <w:rPr>
          <w:rFonts w:asciiTheme="majorHAnsi" w:hAnsiTheme="majorHAnsi"/>
          <w:sz w:val="22"/>
        </w:rPr>
        <w:t>El campus de Be Well OC Irvine está ubicado en 22 acres de propiedad del condado que fue cedida al Condado de Orange como parte de la antigua Estación Aérea del Cuerpo de Marines de El Toro. La visión a largo plazo para el Campus de Irvine es proporcionar una continuidad completa de los servicios de salud mental, consumo de sustancias y bienestar para niños, adolescentes, familias y adultos en el Condado de Orange, desde atención de urgencia hasta tratamiento residencial y apoyo de bienestar comunitario.</w:t>
      </w:r>
    </w:p>
    <w:p w14:paraId="29746690" w14:textId="77777777" w:rsidR="00853CE6" w:rsidRPr="00326092" w:rsidRDefault="00853CE6">
      <w:pPr>
        <w:rPr>
          <w:rFonts w:asciiTheme="majorHAnsi" w:eastAsia="Helvetica Neue" w:hAnsiTheme="majorHAnsi" w:cstheme="majorHAnsi"/>
          <w:sz w:val="22"/>
          <w:szCs w:val="22"/>
        </w:rPr>
      </w:pPr>
    </w:p>
    <w:p w14:paraId="1601D4C8" w14:textId="0B41A7B5" w:rsidR="00AB2CCF" w:rsidRDefault="00E45955">
      <w:pPr>
        <w:rPr>
          <w:rFonts w:asciiTheme="majorHAnsi" w:eastAsia="Helvetica Neue" w:hAnsiTheme="majorHAnsi" w:cstheme="majorHAnsi"/>
          <w:sz w:val="22"/>
          <w:szCs w:val="22"/>
        </w:rPr>
      </w:pPr>
      <w:r>
        <w:rPr>
          <w:rFonts w:asciiTheme="majorHAnsi" w:hAnsiTheme="majorHAnsi"/>
          <w:sz w:val="22"/>
        </w:rPr>
        <w:t xml:space="preserve">“El Condado de Orange se ha convertido en un líder en la transformación de la atención de salud conductual”, dijo el </w:t>
      </w:r>
      <w:r>
        <w:rPr>
          <w:rFonts w:asciiTheme="majorHAnsi" w:hAnsiTheme="majorHAnsi"/>
          <w:b/>
          <w:sz w:val="22"/>
        </w:rPr>
        <w:t xml:space="preserve">supervisor Vicente Sarmiento, </w:t>
      </w:r>
      <w:r>
        <w:rPr>
          <w:rFonts w:asciiTheme="majorHAnsi" w:hAnsiTheme="majorHAnsi"/>
          <w:sz w:val="22"/>
        </w:rPr>
        <w:t>Segundo Distrito. "El nuevo campus en Irvine, desarrollado en asociación entre la Agencia del Cuidado de la Salud del Condado de Orange y Mind OC, nos ayudará a cumplir nuestro compromiso de proporcionar el tratamiento de calidad que cada paciente merece, independientemente de sus circunstancias financieras. Me complace ver la expansión de estos servicios, lo que aumentará la accesibilidad para todos los que los necesiten”.</w:t>
      </w:r>
    </w:p>
    <w:p w14:paraId="4C377244" w14:textId="77777777" w:rsidR="00E45955" w:rsidRPr="00326092" w:rsidRDefault="00E45955">
      <w:pPr>
        <w:rPr>
          <w:rFonts w:asciiTheme="majorHAnsi" w:eastAsia="Helvetica Neue" w:hAnsiTheme="majorHAnsi" w:cstheme="majorHAnsi"/>
          <w:sz w:val="22"/>
          <w:szCs w:val="22"/>
        </w:rPr>
      </w:pPr>
    </w:p>
    <w:p w14:paraId="5F4CA9D6" w14:textId="7768EF86" w:rsidR="00AB2CCF" w:rsidRPr="00326092" w:rsidRDefault="00683919">
      <w:pPr>
        <w:rPr>
          <w:rFonts w:asciiTheme="majorHAnsi" w:eastAsia="Helvetica Neue" w:hAnsiTheme="majorHAnsi" w:cstheme="majorHAnsi"/>
          <w:sz w:val="22"/>
          <w:szCs w:val="22"/>
        </w:rPr>
      </w:pPr>
      <w:r>
        <w:rPr>
          <w:rFonts w:asciiTheme="majorHAnsi" w:hAnsiTheme="majorHAnsi"/>
          <w:sz w:val="22"/>
        </w:rPr>
        <w:t>El Campus se desarrollará en tres áreas, que comenzará con el Área 1 que incluye, aproximadamente, 75.000 pies cuadrados de espacio de construcción para albergar una variedad de servicios para adultos e incluye atención urgente de estabilización de crisis de salud mental, un centro de reflexión y programas residenciales y ambulatorios. La comunidad ha sido fundamental en la identificación de los tipos de servicios y programas necesarios para ayudar a los niños, adultos y familias a alcanzar su salud mental óptima.</w:t>
      </w:r>
      <w:r w:rsidR="00905EDC">
        <w:rPr>
          <w:rFonts w:asciiTheme="majorHAnsi" w:hAnsiTheme="majorHAnsi"/>
          <w:sz w:val="22"/>
        </w:rPr>
        <w:t xml:space="preserve"> </w:t>
      </w:r>
    </w:p>
    <w:p w14:paraId="4A650806" w14:textId="77777777" w:rsidR="00853CE6" w:rsidRPr="00326092" w:rsidRDefault="00853CE6">
      <w:pPr>
        <w:rPr>
          <w:rFonts w:asciiTheme="majorHAnsi" w:eastAsia="Helvetica Neue" w:hAnsiTheme="majorHAnsi" w:cstheme="majorHAnsi"/>
          <w:sz w:val="22"/>
          <w:szCs w:val="22"/>
        </w:rPr>
      </w:pPr>
    </w:p>
    <w:p w14:paraId="1B1C64E4" w14:textId="5DCA13E2" w:rsidR="00AB2CCF" w:rsidRDefault="005F4F3A">
      <w:pPr>
        <w:rPr>
          <w:rFonts w:asciiTheme="majorHAnsi" w:eastAsia="Helvetica Neue" w:hAnsiTheme="majorHAnsi" w:cstheme="majorHAnsi"/>
          <w:sz w:val="22"/>
          <w:szCs w:val="22"/>
        </w:rPr>
      </w:pPr>
      <w:r>
        <w:rPr>
          <w:rFonts w:asciiTheme="majorHAnsi" w:hAnsiTheme="majorHAnsi"/>
          <w:sz w:val="22"/>
        </w:rPr>
        <w:t xml:space="preserve">“La esperanza comienza aquí en el Condado de Orange. Nuestra visión para transformar el sistema de atención de salud mental a los niños, jóvenes y familias del Condado del Sur continúa creciendo en el Campus Be Well de Irvine”, dijo </w:t>
      </w:r>
      <w:r>
        <w:rPr>
          <w:rFonts w:asciiTheme="majorHAnsi" w:hAnsiTheme="majorHAnsi"/>
          <w:b/>
          <w:sz w:val="22"/>
        </w:rPr>
        <w:t>la supervisora Katrina Foley</w:t>
      </w:r>
      <w:r>
        <w:rPr>
          <w:rFonts w:asciiTheme="majorHAnsi" w:hAnsiTheme="majorHAnsi"/>
          <w:sz w:val="22"/>
        </w:rPr>
        <w:t xml:space="preserve">, Quinto Distrito. “Con las puertas que se abrirán el próximo año, los residentes de todos los niveles económicos pronto tendrán acceso a tratamientos críticos de salud mental y consumo de sustancias, al tiempo que ofrecerán un lugar para que las familias apoyen a sus seres queridos en crisis. Esta última expansión de los servicios en el Campus Be Well de Irvine demuestra el </w:t>
      </w:r>
      <w:r>
        <w:rPr>
          <w:rFonts w:asciiTheme="majorHAnsi" w:hAnsiTheme="majorHAnsi"/>
          <w:sz w:val="22"/>
        </w:rPr>
        <w:lastRenderedPageBreak/>
        <w:t>compromiso del Condado de Orange de fomentar programas de salud, bienestar y resiliencia para nuestra comunidad”.</w:t>
      </w:r>
      <w:r w:rsidR="00905EDC">
        <w:rPr>
          <w:rFonts w:asciiTheme="majorHAnsi" w:hAnsiTheme="majorHAnsi"/>
          <w:sz w:val="22"/>
        </w:rPr>
        <w:t xml:space="preserve"> </w:t>
      </w:r>
    </w:p>
    <w:p w14:paraId="71615AD0" w14:textId="77777777" w:rsidR="005F4F3A" w:rsidRPr="00326092" w:rsidRDefault="005F4F3A">
      <w:pPr>
        <w:rPr>
          <w:rFonts w:asciiTheme="majorHAnsi" w:eastAsia="Helvetica Neue" w:hAnsiTheme="majorHAnsi" w:cstheme="majorHAnsi"/>
          <w:sz w:val="22"/>
          <w:szCs w:val="22"/>
        </w:rPr>
      </w:pPr>
    </w:p>
    <w:p w14:paraId="2B5732C1" w14:textId="50836B5F" w:rsidR="00AB2CCF" w:rsidRDefault="00683919">
      <w:pPr>
        <w:rPr>
          <w:rFonts w:asciiTheme="majorHAnsi" w:eastAsia="Helvetica Neue" w:hAnsiTheme="majorHAnsi" w:cstheme="majorHAnsi"/>
          <w:sz w:val="22"/>
          <w:szCs w:val="22"/>
        </w:rPr>
      </w:pPr>
      <w:r>
        <w:rPr>
          <w:rFonts w:asciiTheme="majorHAnsi" w:hAnsiTheme="majorHAnsi"/>
          <w:sz w:val="22"/>
        </w:rPr>
        <w:t>El Área 2 está planeada para programas de especialidad para niños, jóvenes y perinatales, que ampliará la capacidad de servicios tanto residenciales como ambulatorios mientras apoya a toda la familia. El Área 3 ampliará las oportunidades para las conexiones comunitarias al proporcionar espacio para programas educativos y aulas, servicios centralizados de apoyo y navegación, reuniones comunitarias, espacio para eventos de fe y cultura y centros para jóvenes y adultos mayores. </w:t>
      </w:r>
    </w:p>
    <w:p w14:paraId="68E44ACA" w14:textId="77777777" w:rsidR="00B3483F" w:rsidRDefault="00B3483F">
      <w:pPr>
        <w:rPr>
          <w:rFonts w:asciiTheme="majorHAnsi" w:eastAsia="Helvetica Neue" w:hAnsiTheme="majorHAnsi" w:cstheme="majorHAnsi"/>
          <w:sz w:val="22"/>
          <w:szCs w:val="22"/>
        </w:rPr>
      </w:pPr>
    </w:p>
    <w:p w14:paraId="7E16E3E8" w14:textId="3868AAA9" w:rsidR="00B3483F" w:rsidRPr="00326092" w:rsidRDefault="00B3483F">
      <w:pPr>
        <w:rPr>
          <w:rFonts w:asciiTheme="majorHAnsi" w:eastAsia="Helvetica Neue" w:hAnsiTheme="majorHAnsi" w:cstheme="majorHAnsi"/>
          <w:sz w:val="22"/>
          <w:szCs w:val="22"/>
        </w:rPr>
      </w:pPr>
      <w:r>
        <w:rPr>
          <w:rFonts w:asciiTheme="majorHAnsi" w:hAnsiTheme="majorHAnsi"/>
          <w:sz w:val="22"/>
        </w:rPr>
        <w:t xml:space="preserve">“Be Well OC representa un cambio en los sistemas que hace que la atención de salud mental sea accesible para todos”, dijo </w:t>
      </w:r>
      <w:r>
        <w:rPr>
          <w:rFonts w:asciiTheme="majorHAnsi" w:hAnsiTheme="majorHAnsi"/>
          <w:b/>
          <w:sz w:val="22"/>
        </w:rPr>
        <w:t>Rick Afable</w:t>
      </w:r>
      <w:r>
        <w:rPr>
          <w:rFonts w:asciiTheme="majorHAnsi" w:hAnsiTheme="majorHAnsi"/>
          <w:sz w:val="22"/>
        </w:rPr>
        <w:t>, presidente de la Junta de MindOC. “Agradecemos el liderazgo del Condado de Orange y la Agencia del Cuidado de la Salud del Condado de Orange y el apoyo de todos nuestros socios públicos, privados, académicos y religiosos que son parte del movimiento Be Well. La aprobación del MSA por parte de la Junta acelera la expansión de los programas y servicios de Be Well y se basa en el éxito de los que se ofrecen en nuestro campus de Orange. Al incorporar programas adicionales de salud mental y trastornos por consumo de sustancias adaptados para niños, adolescentes, mujeres embarazadas y familias, continuaremos cambiando la conversación sobre salud mental y bienestar en el Condado de Orange y más allá”.</w:t>
      </w:r>
    </w:p>
    <w:p w14:paraId="21DE6B1D" w14:textId="77777777" w:rsidR="00250D04" w:rsidRPr="00326092" w:rsidRDefault="00250D04">
      <w:pPr>
        <w:rPr>
          <w:rFonts w:asciiTheme="majorHAnsi" w:eastAsia="Helvetica Neue" w:hAnsiTheme="majorHAnsi" w:cstheme="majorHAnsi"/>
          <w:sz w:val="22"/>
          <w:szCs w:val="22"/>
        </w:rPr>
      </w:pPr>
    </w:p>
    <w:p w14:paraId="6D38E129" w14:textId="275B2474" w:rsidR="00AB2CCF" w:rsidRPr="00326092" w:rsidRDefault="00683919">
      <w:pPr>
        <w:rPr>
          <w:rFonts w:asciiTheme="majorHAnsi" w:eastAsia="Helvetica Neue" w:hAnsiTheme="majorHAnsi" w:cstheme="majorHAnsi"/>
          <w:sz w:val="22"/>
          <w:szCs w:val="22"/>
        </w:rPr>
      </w:pPr>
      <w:r>
        <w:rPr>
          <w:rFonts w:asciiTheme="majorHAnsi" w:hAnsiTheme="majorHAnsi"/>
          <w:sz w:val="22"/>
        </w:rPr>
        <w:t xml:space="preserve">Además de los servicios clínicos muy necesarios, la ubicación de Irvine proporcionará apoyo de bienestar integral a las familias y a toda la comunidad, incluido un colectivo de atención médica de múltiples entidades que integra sistemas de salud públicos y privados en todo el Condado de Orange con educación y enriquecimiento para jóvenes y las comunidades. Los servicios estarán disponibles para todos los residentes del Condado de Orange, independientemente del seguro o la capacidad de pago. </w:t>
      </w:r>
    </w:p>
    <w:p w14:paraId="3A22DBCE" w14:textId="77777777" w:rsidR="00AB2CCF" w:rsidRPr="00326092" w:rsidRDefault="00AB2CCF">
      <w:pPr>
        <w:rPr>
          <w:rFonts w:asciiTheme="majorHAnsi" w:eastAsia="Helvetica Neue" w:hAnsiTheme="majorHAnsi" w:cstheme="majorHAnsi"/>
          <w:sz w:val="22"/>
          <w:szCs w:val="22"/>
        </w:rPr>
      </w:pPr>
    </w:p>
    <w:p w14:paraId="09C191EB" w14:textId="77777777" w:rsidR="00B3483F" w:rsidRPr="00751F83" w:rsidRDefault="00B3483F" w:rsidP="00B3483F">
      <w:pPr>
        <w:rPr>
          <w:rFonts w:asciiTheme="majorHAnsi" w:eastAsia="Helvetica Neue" w:hAnsiTheme="majorHAnsi" w:cstheme="majorHAnsi"/>
          <w:sz w:val="22"/>
          <w:szCs w:val="22"/>
        </w:rPr>
      </w:pPr>
      <w:r>
        <w:rPr>
          <w:rFonts w:asciiTheme="majorHAnsi" w:hAnsiTheme="majorHAnsi"/>
          <w:sz w:val="22"/>
        </w:rPr>
        <w:t xml:space="preserve">"Nuestra colaboración en Be Well OC representa otro paso crucial hacia el avance en nuestro compromiso continuo con servicios integrales de salud mental y trastornos por consumos de sustancias para los residentes del Condado de Orange", dijo la </w:t>
      </w:r>
      <w:r>
        <w:rPr>
          <w:rFonts w:asciiTheme="majorHAnsi" w:hAnsiTheme="majorHAnsi"/>
          <w:b/>
          <w:bCs/>
          <w:sz w:val="22"/>
        </w:rPr>
        <w:t>doctora Verónica Kelley</w:t>
      </w:r>
      <w:r>
        <w:rPr>
          <w:rFonts w:asciiTheme="majorHAnsi" w:hAnsiTheme="majorHAnsi"/>
          <w:sz w:val="22"/>
        </w:rPr>
        <w:t xml:space="preserve">, Directora de la Agencia del Cuidado de la Salud del Condado de Orange. “Para proporcionar una amplia gama de programas adaptados a diferentes grupos de edad y necesidades, estamos fomentando una comunidad donde el apoyo y los recursos son fácilmente accesibles para todos”. </w:t>
      </w:r>
    </w:p>
    <w:p w14:paraId="59B7E1BA" w14:textId="77777777" w:rsidR="00B3483F" w:rsidRPr="00326092" w:rsidRDefault="00B3483F">
      <w:pPr>
        <w:rPr>
          <w:rFonts w:asciiTheme="majorHAnsi" w:eastAsia="Helvetica Neue" w:hAnsiTheme="majorHAnsi" w:cstheme="majorHAnsi"/>
          <w:sz w:val="22"/>
          <w:szCs w:val="22"/>
        </w:rPr>
      </w:pPr>
    </w:p>
    <w:p w14:paraId="195646F3" w14:textId="38E40E63" w:rsidR="00AB2CCF" w:rsidRPr="00326092" w:rsidRDefault="00683919">
      <w:pPr>
        <w:rPr>
          <w:rFonts w:asciiTheme="majorHAnsi" w:eastAsia="Helvetica Neue" w:hAnsiTheme="majorHAnsi" w:cstheme="majorHAnsi"/>
          <w:sz w:val="22"/>
          <w:szCs w:val="22"/>
        </w:rPr>
      </w:pPr>
      <w:r>
        <w:rPr>
          <w:rFonts w:asciiTheme="majorHAnsi" w:hAnsiTheme="majorHAnsi"/>
          <w:sz w:val="22"/>
        </w:rPr>
        <w:t>El diseño del Campus es intencional: baja densidad, moderno, sencillo, cálido y acogedor, para crear un sentido de dignidad, pertenencia y esperanza para aquellos que buscan ayuda.</w:t>
      </w:r>
    </w:p>
    <w:p w14:paraId="7B653A21" w14:textId="77777777" w:rsidR="00683919" w:rsidRPr="00326092" w:rsidRDefault="00683919" w:rsidP="00683919">
      <w:pPr>
        <w:rPr>
          <w:rFonts w:asciiTheme="majorHAnsi" w:eastAsia="Helvetica Neue" w:hAnsiTheme="majorHAnsi" w:cstheme="majorHAnsi"/>
          <w:color w:val="000000"/>
          <w:sz w:val="22"/>
          <w:szCs w:val="22"/>
        </w:rPr>
      </w:pPr>
    </w:p>
    <w:p w14:paraId="2DF3ABEC" w14:textId="77777777" w:rsidR="00501F6C" w:rsidRPr="00326092" w:rsidRDefault="00501F6C">
      <w:pPr>
        <w:rPr>
          <w:rFonts w:asciiTheme="majorHAnsi" w:eastAsia="Helvetica Neue" w:hAnsiTheme="majorHAnsi" w:cstheme="majorHAnsi"/>
          <w:sz w:val="22"/>
          <w:szCs w:val="22"/>
        </w:rPr>
      </w:pPr>
    </w:p>
    <w:p w14:paraId="5E0B575F" w14:textId="72B221EE" w:rsidR="00683919" w:rsidRPr="00326092" w:rsidRDefault="00683919" w:rsidP="00683919">
      <w:pPr>
        <w:snapToGrid w:val="0"/>
        <w:mirrorIndents/>
        <w:rPr>
          <w:rFonts w:asciiTheme="majorHAnsi" w:eastAsia="Helvetica Neue" w:hAnsiTheme="majorHAnsi" w:cstheme="majorHAnsi"/>
          <w:b/>
          <w:bCs/>
          <w:color w:val="000000"/>
          <w:sz w:val="20"/>
          <w:szCs w:val="20"/>
        </w:rPr>
      </w:pPr>
      <w:r>
        <w:rPr>
          <w:rFonts w:asciiTheme="majorHAnsi" w:hAnsiTheme="majorHAnsi"/>
          <w:b/>
          <w:color w:val="000000"/>
          <w:sz w:val="20"/>
        </w:rPr>
        <w:t>ACERCA DE LA AGENCIA DEL CUIDADO DE LA SALUD DEL CONDADO DE ORANGE</w:t>
      </w:r>
    </w:p>
    <w:p w14:paraId="5297CE77" w14:textId="0E6E06F5" w:rsidR="00AB2CCF" w:rsidRPr="00326092" w:rsidRDefault="00853CE6">
      <w:pPr>
        <w:pBdr>
          <w:top w:val="nil"/>
          <w:left w:val="nil"/>
          <w:bottom w:val="nil"/>
          <w:right w:val="nil"/>
          <w:between w:val="nil"/>
        </w:pBdr>
        <w:rPr>
          <w:rFonts w:asciiTheme="majorHAnsi" w:hAnsiTheme="majorHAnsi" w:cstheme="majorHAnsi"/>
          <w:sz w:val="20"/>
          <w:szCs w:val="20"/>
          <w:shd w:val="clear" w:color="auto" w:fill="FFFFFF"/>
        </w:rPr>
      </w:pPr>
      <w:r>
        <w:rPr>
          <w:rFonts w:asciiTheme="majorHAnsi" w:hAnsiTheme="majorHAnsi"/>
          <w:sz w:val="20"/>
          <w:shd w:val="clear" w:color="auto" w:fill="FFFFFF"/>
        </w:rPr>
        <w:t>La Agencia de Cuidado de la Salud de OC (HCA) es una jurisdicción regional interdisciplinaria de salud y un departamento de salud acreditado, encargado de proteger y promover la salud individual, familiar y comunitaria a través de la asociación y la coordinación de recursos del sector público y privado. La misión de los Servicios de Salud Conductual de la HCA es prevenir el abuso de sustancias y/o crisis de salud mental; cuando hay signos presentes, intervenir temprano y adecuadamente; y cuando las evaluaciones indican que el tratamiento es necesario</w:t>
      </w:r>
      <w:r w:rsidR="00905EDC">
        <w:rPr>
          <w:rFonts w:asciiTheme="majorHAnsi" w:hAnsiTheme="majorHAnsi"/>
          <w:sz w:val="20"/>
          <w:shd w:val="clear" w:color="auto" w:fill="FFFFFF"/>
        </w:rPr>
        <w:t xml:space="preserve">, </w:t>
      </w:r>
      <w:r>
        <w:rPr>
          <w:rFonts w:asciiTheme="majorHAnsi" w:hAnsiTheme="majorHAnsi"/>
          <w:sz w:val="20"/>
          <w:shd w:val="clear" w:color="auto" w:fill="FFFFFF"/>
        </w:rPr>
        <w:t>proporcionar el tipo correcto de tratamiento en el lugar correcto, por la persona/programa adecuado para ayudar a las personas a lograr y mantener la más alta calidad de salud y bienestar.</w:t>
      </w:r>
      <w:r w:rsidR="00905EDC">
        <w:rPr>
          <w:rFonts w:asciiTheme="majorHAnsi" w:hAnsiTheme="majorHAnsi"/>
          <w:sz w:val="20"/>
          <w:shd w:val="clear" w:color="auto" w:fill="FFFFFF"/>
        </w:rPr>
        <w:t xml:space="preserve"> </w:t>
      </w:r>
      <w:r>
        <w:rPr>
          <w:rFonts w:asciiTheme="majorHAnsi" w:hAnsiTheme="majorHAnsi"/>
          <w:sz w:val="20"/>
          <w:shd w:val="clear" w:color="auto" w:fill="FFFFFF"/>
        </w:rPr>
        <w:t>Visite www.ochealthinfo.com para obtener más información sobre servicios y recursos.</w:t>
      </w:r>
      <w:r w:rsidR="00905EDC">
        <w:rPr>
          <w:rFonts w:asciiTheme="majorHAnsi" w:hAnsiTheme="majorHAnsi"/>
          <w:sz w:val="20"/>
          <w:shd w:val="clear" w:color="auto" w:fill="FFFFFF"/>
        </w:rPr>
        <w:t xml:space="preserve"> </w:t>
      </w:r>
    </w:p>
    <w:p w14:paraId="436F1893" w14:textId="77777777" w:rsidR="00853CE6" w:rsidRPr="00326092" w:rsidRDefault="00853CE6">
      <w:pPr>
        <w:pBdr>
          <w:top w:val="nil"/>
          <w:left w:val="nil"/>
          <w:bottom w:val="nil"/>
          <w:right w:val="nil"/>
          <w:between w:val="nil"/>
        </w:pBdr>
        <w:rPr>
          <w:rFonts w:asciiTheme="majorHAnsi" w:eastAsia="Helvetica Neue" w:hAnsiTheme="majorHAnsi" w:cstheme="majorHAnsi"/>
          <w:sz w:val="20"/>
          <w:szCs w:val="20"/>
        </w:rPr>
      </w:pPr>
    </w:p>
    <w:p w14:paraId="77933CB9" w14:textId="77777777" w:rsidR="00905EDC" w:rsidRDefault="00905EDC">
      <w:pPr>
        <w:ind w:left="720" w:hanging="720"/>
        <w:rPr>
          <w:rFonts w:asciiTheme="majorHAnsi" w:hAnsiTheme="majorHAnsi"/>
          <w:b/>
          <w:smallCaps/>
          <w:color w:val="000000"/>
          <w:sz w:val="20"/>
        </w:rPr>
      </w:pPr>
    </w:p>
    <w:p w14:paraId="24D88BF7" w14:textId="427E0504" w:rsidR="00AB2CCF" w:rsidRPr="00326092" w:rsidRDefault="00683919">
      <w:pPr>
        <w:ind w:left="720" w:hanging="720"/>
        <w:rPr>
          <w:rFonts w:asciiTheme="majorHAnsi" w:eastAsia="Helvetica Neue" w:hAnsiTheme="majorHAnsi" w:cstheme="majorHAnsi"/>
          <w:b/>
          <w:smallCaps/>
          <w:color w:val="000000"/>
          <w:sz w:val="20"/>
          <w:szCs w:val="20"/>
        </w:rPr>
      </w:pPr>
      <w:r>
        <w:rPr>
          <w:rFonts w:asciiTheme="majorHAnsi" w:hAnsiTheme="majorHAnsi"/>
          <w:b/>
          <w:smallCaps/>
          <w:color w:val="000000"/>
          <w:sz w:val="20"/>
        </w:rPr>
        <w:lastRenderedPageBreak/>
        <w:t>ACERCA DE BE WELL OC</w:t>
      </w:r>
    </w:p>
    <w:p w14:paraId="227E4951" w14:textId="0737E3C0" w:rsidR="00AB2CCF" w:rsidRPr="00326092" w:rsidRDefault="00683919">
      <w:pPr>
        <w:pBdr>
          <w:top w:val="nil"/>
          <w:left w:val="nil"/>
          <w:bottom w:val="nil"/>
          <w:right w:val="nil"/>
          <w:between w:val="nil"/>
        </w:pBdr>
        <w:rPr>
          <w:rFonts w:asciiTheme="majorHAnsi" w:eastAsia="Helvetica Neue" w:hAnsiTheme="majorHAnsi" w:cstheme="majorHAnsi"/>
          <w:sz w:val="20"/>
          <w:szCs w:val="20"/>
        </w:rPr>
      </w:pPr>
      <w:r>
        <w:rPr>
          <w:rFonts w:asciiTheme="majorHAnsi" w:hAnsiTheme="majorHAnsi"/>
          <w:color w:val="000000"/>
          <w:sz w:val="20"/>
        </w:rPr>
        <w:t xml:space="preserve">Be Well OC es una iniciativa transformadora que reúne a organizaciones públicas, privadas, académicas y religiosas, entre otras, para crear un sistema coordinado de atención de salud mental y apoyo para todos los residentes del Condado de Orange. El sistema de salud mental de Be Well OC, que también incluye servicios de consumo de sustancias, cuenta con un centro de salud mental y bienestar de clase mundial en Orange y un sólido programa de respuesta móvil que opera actualmente </w:t>
      </w:r>
      <w:r>
        <w:rPr>
          <w:rFonts w:asciiTheme="majorHAnsi" w:hAnsiTheme="majorHAnsi"/>
          <w:color w:val="000000" w:themeColor="text1"/>
          <w:sz w:val="20"/>
        </w:rPr>
        <w:t>en siete ciudades y en el campus de la UCI</w:t>
      </w:r>
      <w:r>
        <w:rPr>
          <w:rFonts w:asciiTheme="majorHAnsi" w:hAnsiTheme="majorHAnsi"/>
          <w:color w:val="000000"/>
          <w:sz w:val="20"/>
        </w:rPr>
        <w:t>. El movimiento de Be Well OC abarca todas las ciudades del Condado de Orange y una variedad de necesidades, desde prevención e intervención temprana hasta aversión de crisis, atención aguda y recuperación. Para obtener más información, visite</w:t>
      </w:r>
      <w:r w:rsidR="004B423B">
        <w:rPr>
          <w:rFonts w:asciiTheme="majorHAnsi" w:hAnsiTheme="majorHAnsi"/>
          <w:color w:val="000000"/>
          <w:sz w:val="20"/>
        </w:rPr>
        <w:t xml:space="preserve"> </w:t>
      </w:r>
      <w:hyperlink r:id="rId12">
        <w:r>
          <w:rPr>
            <w:rFonts w:asciiTheme="majorHAnsi" w:hAnsiTheme="majorHAnsi"/>
            <w:color w:val="000000"/>
            <w:sz w:val="20"/>
            <w:u w:val="single"/>
          </w:rPr>
          <w:t>bewelloc.org</w:t>
        </w:r>
      </w:hyperlink>
      <w:r>
        <w:rPr>
          <w:rFonts w:asciiTheme="majorHAnsi" w:hAnsiTheme="majorHAnsi"/>
          <w:color w:val="000000"/>
          <w:sz w:val="20"/>
        </w:rPr>
        <w:t>.</w:t>
      </w:r>
    </w:p>
    <w:p w14:paraId="61CF5FF2" w14:textId="77777777" w:rsidR="00AB2CCF" w:rsidRPr="00326092" w:rsidRDefault="00AB2CCF">
      <w:pPr>
        <w:jc w:val="center"/>
        <w:rPr>
          <w:rFonts w:ascii="Helvetica Neue" w:eastAsia="Helvetica Neue" w:hAnsi="Helvetica Neue" w:cs="Helvetica Neue"/>
          <w:sz w:val="22"/>
          <w:szCs w:val="22"/>
        </w:rPr>
      </w:pPr>
    </w:p>
    <w:p w14:paraId="6BA0B79B" w14:textId="77777777" w:rsidR="00AB2CCF" w:rsidRPr="00326092" w:rsidRDefault="00683919">
      <w:pPr>
        <w:jc w:val="center"/>
        <w:rPr>
          <w:rFonts w:ascii="Helvetica Neue" w:eastAsia="Helvetica Neue" w:hAnsi="Helvetica Neue" w:cs="Helvetica Neue"/>
        </w:rPr>
      </w:pPr>
      <w:r>
        <w:rPr>
          <w:rFonts w:ascii="Helvetica Neue" w:hAnsi="Helvetica Neue"/>
        </w:rPr>
        <w:t>###</w:t>
      </w:r>
    </w:p>
    <w:p w14:paraId="0FB09658" w14:textId="77777777" w:rsidR="00AB2CCF" w:rsidRPr="00326092" w:rsidRDefault="00AB2CCF">
      <w:pPr>
        <w:pBdr>
          <w:top w:val="nil"/>
          <w:left w:val="nil"/>
          <w:bottom w:val="nil"/>
          <w:right w:val="nil"/>
          <w:between w:val="nil"/>
        </w:pBdr>
        <w:rPr>
          <w:rFonts w:ascii="Helvetica Neue" w:eastAsia="Helvetica Neue" w:hAnsi="Helvetica Neue" w:cs="Helvetica Neue"/>
          <w:sz w:val="22"/>
          <w:szCs w:val="22"/>
        </w:rPr>
      </w:pPr>
    </w:p>
    <w:p w14:paraId="04846A24" w14:textId="77777777" w:rsidR="00AB2CCF" w:rsidRDefault="00AB2CCF">
      <w:pPr>
        <w:jc w:val="center"/>
        <w:rPr>
          <w:rFonts w:ascii="Helvetica Neue" w:eastAsia="Helvetica Neue" w:hAnsi="Helvetica Neue" w:cs="Helvetica Neue"/>
          <w:sz w:val="22"/>
          <w:szCs w:val="22"/>
        </w:rPr>
      </w:pPr>
    </w:p>
    <w:p w14:paraId="66E89515" w14:textId="77777777" w:rsidR="00AB2CCF" w:rsidRDefault="00AB2CCF">
      <w:pPr>
        <w:jc w:val="center"/>
        <w:rPr>
          <w:rFonts w:ascii="Helvetica Neue" w:eastAsia="Helvetica Neue" w:hAnsi="Helvetica Neue" w:cs="Helvetica Neue"/>
        </w:rPr>
      </w:pPr>
    </w:p>
    <w:p w14:paraId="49B2CC6F" w14:textId="77777777" w:rsidR="00264CF5" w:rsidRDefault="00264CF5">
      <w:pPr>
        <w:jc w:val="center"/>
        <w:rPr>
          <w:rFonts w:ascii="Helvetica Neue" w:eastAsia="Helvetica Neue" w:hAnsi="Helvetica Neue" w:cs="Helvetica Neue"/>
        </w:rPr>
      </w:pPr>
    </w:p>
    <w:sectPr w:rsidR="00264CF5">
      <w:headerReference w:type="even" r:id="rId13"/>
      <w:headerReference w:type="default" r:id="rId14"/>
      <w:footerReference w:type="even" r:id="rId15"/>
      <w:footerReference w:type="default" r:id="rId16"/>
      <w:headerReference w:type="first" r:id="rId17"/>
      <w:footerReference w:type="first" r:id="rId18"/>
      <w:pgSz w:w="12240" w:h="15840"/>
      <w:pgMar w:top="1440" w:right="90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23400" w14:textId="77777777" w:rsidR="00CC3DAE" w:rsidRDefault="00CC3DAE">
      <w:r>
        <w:separator/>
      </w:r>
    </w:p>
  </w:endnote>
  <w:endnote w:type="continuationSeparator" w:id="0">
    <w:p w14:paraId="5B003A89" w14:textId="77777777" w:rsidR="00CC3DAE" w:rsidRDefault="00CC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6F3E1" w14:textId="77777777" w:rsidR="00415546" w:rsidRDefault="00415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8E00B" w14:textId="77777777" w:rsidR="00415546" w:rsidRDefault="004155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91567" w14:textId="77777777" w:rsidR="00415546" w:rsidRDefault="004155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FB8CBF" w14:textId="77777777" w:rsidR="00CC3DAE" w:rsidRDefault="00CC3DAE">
      <w:r>
        <w:separator/>
      </w:r>
    </w:p>
  </w:footnote>
  <w:footnote w:type="continuationSeparator" w:id="0">
    <w:p w14:paraId="098FE215" w14:textId="77777777" w:rsidR="00CC3DAE" w:rsidRDefault="00CC3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CBF09" w14:textId="32C5CD39" w:rsidR="00415546" w:rsidRDefault="00000000">
    <w:pPr>
      <w:pStyle w:val="Header"/>
    </w:pPr>
    <w:r>
      <w:pict w14:anchorId="5800D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272235" o:spid="_x0000_s1026" type="#_x0000_t136" style="position:absolute;margin-left:0;margin-top:0;width:436.2pt;height:261.7pt;rotation:315;z-index:-25165107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A188D" w14:textId="5A33D4E5" w:rsidR="00AB2CCF" w:rsidRDefault="00000000" w:rsidP="00BC1C65">
    <w:pPr>
      <w:ind w:right="-270" w:hanging="270"/>
      <w:jc w:val="center"/>
      <w:rPr>
        <w:b/>
        <w:sz w:val="28"/>
        <w:szCs w:val="28"/>
      </w:rPr>
    </w:pPr>
    <w:r>
      <w:pict w14:anchorId="535A0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272236" o:spid="_x0000_s1027" type="#_x0000_t136" style="position:absolute;left:0;text-align:left;margin-left:0;margin-top:0;width:436.2pt;height:261.7pt;rotation:315;z-index:-251649024;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r>
      <w:rPr>
        <w:noProof/>
      </w:rPr>
      <w:drawing>
        <wp:anchor distT="0" distB="0" distL="114300" distR="114300" simplePos="0" relativeHeight="251661312" behindDoc="1" locked="0" layoutInCell="1" allowOverlap="1" wp14:anchorId="74808335" wp14:editId="31DA9854">
          <wp:simplePos x="0" y="0"/>
          <wp:positionH relativeFrom="page">
            <wp:align>center</wp:align>
          </wp:positionH>
          <wp:positionV relativeFrom="paragraph">
            <wp:posOffset>-76200</wp:posOffset>
          </wp:positionV>
          <wp:extent cx="685800" cy="685800"/>
          <wp:effectExtent l="0" t="0" r="0" b="0"/>
          <wp:wrapTight wrapText="bothSides">
            <wp:wrapPolygon edited="0">
              <wp:start x="0" y="0"/>
              <wp:lineTo x="0" y="21000"/>
              <wp:lineTo x="21000" y="21000"/>
              <wp:lineTo x="21000" y="0"/>
              <wp:lineTo x="0" y="0"/>
            </wp:wrapPolygon>
          </wp:wrapTight>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rPr>
        <w:noProof/>
      </w:rPr>
      <w:drawing>
        <wp:anchor distT="0" distB="0" distL="114300" distR="114300" simplePos="0" relativeHeight="251660288" behindDoc="1" locked="0" layoutInCell="1" allowOverlap="1" wp14:anchorId="2B45EB8F" wp14:editId="73FDFE30">
          <wp:simplePos x="0" y="0"/>
          <wp:positionH relativeFrom="column">
            <wp:posOffset>4991100</wp:posOffset>
          </wp:positionH>
          <wp:positionV relativeFrom="paragraph">
            <wp:posOffset>-180975</wp:posOffset>
          </wp:positionV>
          <wp:extent cx="1017454" cy="847725"/>
          <wp:effectExtent l="0" t="0" r="0" b="0"/>
          <wp:wrapTight wrapText="bothSides">
            <wp:wrapPolygon edited="0">
              <wp:start x="0" y="0"/>
              <wp:lineTo x="0" y="20872"/>
              <wp:lineTo x="21034" y="20872"/>
              <wp:lineTo x="21034"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17454" cy="847725"/>
                  </a:xfrm>
                  <a:prstGeom prst="rect">
                    <a:avLst/>
                  </a:prstGeom>
                </pic:spPr>
              </pic:pic>
            </a:graphicData>
          </a:graphic>
        </wp:anchor>
      </w:drawing>
    </w:r>
    <w:r>
      <w:rPr>
        <w:noProof/>
      </w:rPr>
      <w:drawing>
        <wp:anchor distT="0" distB="0" distL="114300" distR="114300" simplePos="0" relativeHeight="251658240" behindDoc="1" locked="0" layoutInCell="1" allowOverlap="1" wp14:anchorId="459E0FCE" wp14:editId="3761E31C">
          <wp:simplePos x="0" y="0"/>
          <wp:positionH relativeFrom="column">
            <wp:posOffset>-552450</wp:posOffset>
          </wp:positionH>
          <wp:positionV relativeFrom="paragraph">
            <wp:posOffset>9525</wp:posOffset>
          </wp:positionV>
          <wp:extent cx="1866900" cy="600075"/>
          <wp:effectExtent l="0" t="0" r="0" b="9525"/>
          <wp:wrapTight wrapText="bothSides">
            <wp:wrapPolygon edited="0">
              <wp:start x="1984" y="0"/>
              <wp:lineTo x="0" y="1371"/>
              <wp:lineTo x="0" y="19886"/>
              <wp:lineTo x="1984" y="21257"/>
              <wp:lineTo x="21380" y="21257"/>
              <wp:lineTo x="21380" y="4114"/>
              <wp:lineTo x="4408" y="0"/>
              <wp:lineTo x="1984" y="0"/>
            </wp:wrapPolygon>
          </wp:wrapTight>
          <wp:docPr id="1" name="image1.png" descr="Be Well OC - May we all Be Well"/>
          <wp:cNvGraphicFramePr/>
          <a:graphic xmlns:a="http://schemas.openxmlformats.org/drawingml/2006/main">
            <a:graphicData uri="http://schemas.openxmlformats.org/drawingml/2006/picture">
              <pic:pic xmlns:pic="http://schemas.openxmlformats.org/drawingml/2006/picture">
                <pic:nvPicPr>
                  <pic:cNvPr id="0" name="image1.png" descr="Be Well OC - May we all Be Well"/>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1866900" cy="600075"/>
                  </a:xfrm>
                  <a:prstGeom prst="rect">
                    <a:avLst/>
                  </a:prstGeom>
                  <a:ln/>
                </pic:spPr>
              </pic:pic>
            </a:graphicData>
          </a:graphic>
          <wp14:sizeRelH relativeFrom="margin">
            <wp14:pctWidth>0</wp14:pctWidth>
          </wp14:sizeRelH>
          <wp14:sizeRelV relativeFrom="margin">
            <wp14:pctHeight>0</wp14:pctHeight>
          </wp14:sizeRelV>
        </wp:anchor>
      </w:drawing>
    </w:r>
    <w:r w:rsidR="00905EDC">
      <w:rPr>
        <w:b/>
        <w:sz w:val="28"/>
      </w:rPr>
      <w:t xml:space="preserve"> </w:t>
    </w:r>
  </w:p>
  <w:p w14:paraId="620CA174" w14:textId="77777777" w:rsidR="00AB2CCF" w:rsidRDefault="00AB2CCF">
    <w:pPr>
      <w:ind w:right="-270" w:hanging="270"/>
      <w:rPr>
        <w:b/>
        <w:sz w:val="22"/>
        <w:szCs w:val="22"/>
      </w:rPr>
    </w:pPr>
  </w:p>
  <w:p w14:paraId="199ABCE1" w14:textId="69B94BA0" w:rsidR="00AB2CCF" w:rsidRDefault="00905EDC">
    <w:pPr>
      <w:jc w:val="center"/>
      <w:rPr>
        <w:b/>
        <w:sz w:val="28"/>
        <w:szCs w:val="28"/>
      </w:rPr>
    </w:pPr>
    <w:r>
      <w:rPr>
        <w:b/>
        <w:sz w:val="28"/>
      </w:rPr>
      <w:t xml:space="preserve"> </w:t>
    </w:r>
  </w:p>
  <w:p w14:paraId="604CC021" w14:textId="77777777" w:rsidR="00AB2CCF" w:rsidRDefault="00AB2CC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4B6D2" w14:textId="58A7BB9B" w:rsidR="00415546" w:rsidRDefault="00000000">
    <w:pPr>
      <w:pStyle w:val="Header"/>
    </w:pPr>
    <w:r>
      <w:pict w14:anchorId="28B8E7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272234" o:spid="_x0000_s1025" type="#_x0000_t136" style="position:absolute;margin-left:0;margin-top:0;width:436.2pt;height:261.7pt;rotation:315;z-index:-251653120;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03497"/>
    <w:multiLevelType w:val="hybridMultilevel"/>
    <w:tmpl w:val="7A4E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BB36C9"/>
    <w:multiLevelType w:val="multilevel"/>
    <w:tmpl w:val="182487DA"/>
    <w:lvl w:ilvl="0">
      <w:start w:val="1"/>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1557791">
    <w:abstractNumId w:val="1"/>
  </w:num>
  <w:num w:numId="2" w16cid:durableId="89011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CCF"/>
    <w:rsid w:val="00027924"/>
    <w:rsid w:val="00031BD4"/>
    <w:rsid w:val="00032511"/>
    <w:rsid w:val="00035571"/>
    <w:rsid w:val="00043A32"/>
    <w:rsid w:val="000C41F8"/>
    <w:rsid w:val="000D5456"/>
    <w:rsid w:val="00102989"/>
    <w:rsid w:val="00135302"/>
    <w:rsid w:val="00181532"/>
    <w:rsid w:val="00194054"/>
    <w:rsid w:val="001E49E9"/>
    <w:rsid w:val="0020252F"/>
    <w:rsid w:val="002439AF"/>
    <w:rsid w:val="00250D04"/>
    <w:rsid w:val="00264CF5"/>
    <w:rsid w:val="002C3D2B"/>
    <w:rsid w:val="002D38A9"/>
    <w:rsid w:val="002D6B1F"/>
    <w:rsid w:val="002D72E5"/>
    <w:rsid w:val="00305C8F"/>
    <w:rsid w:val="00326092"/>
    <w:rsid w:val="003F5166"/>
    <w:rsid w:val="00415546"/>
    <w:rsid w:val="0043646D"/>
    <w:rsid w:val="00451903"/>
    <w:rsid w:val="00470EAB"/>
    <w:rsid w:val="004841AF"/>
    <w:rsid w:val="004A0516"/>
    <w:rsid w:val="004B423B"/>
    <w:rsid w:val="004C6161"/>
    <w:rsid w:val="004F4558"/>
    <w:rsid w:val="00501F6C"/>
    <w:rsid w:val="005329FF"/>
    <w:rsid w:val="00547BCB"/>
    <w:rsid w:val="00547DCD"/>
    <w:rsid w:val="005A37BD"/>
    <w:rsid w:val="005B6983"/>
    <w:rsid w:val="005F0C48"/>
    <w:rsid w:val="005F4F3A"/>
    <w:rsid w:val="005F595F"/>
    <w:rsid w:val="00640AFA"/>
    <w:rsid w:val="00652781"/>
    <w:rsid w:val="00667225"/>
    <w:rsid w:val="006837FB"/>
    <w:rsid w:val="00683919"/>
    <w:rsid w:val="006E247C"/>
    <w:rsid w:val="00700A2F"/>
    <w:rsid w:val="00706A60"/>
    <w:rsid w:val="007125AD"/>
    <w:rsid w:val="00714655"/>
    <w:rsid w:val="00751F83"/>
    <w:rsid w:val="0076462F"/>
    <w:rsid w:val="007A0C80"/>
    <w:rsid w:val="007F6E27"/>
    <w:rsid w:val="00820ABD"/>
    <w:rsid w:val="00853CE6"/>
    <w:rsid w:val="008958DC"/>
    <w:rsid w:val="008C2F45"/>
    <w:rsid w:val="009043DD"/>
    <w:rsid w:val="00905EDC"/>
    <w:rsid w:val="00951823"/>
    <w:rsid w:val="0097180B"/>
    <w:rsid w:val="00980698"/>
    <w:rsid w:val="0099666E"/>
    <w:rsid w:val="009A331E"/>
    <w:rsid w:val="009E2FC8"/>
    <w:rsid w:val="00A25B3D"/>
    <w:rsid w:val="00A916E9"/>
    <w:rsid w:val="00AA2CB9"/>
    <w:rsid w:val="00AB2CCF"/>
    <w:rsid w:val="00AC4931"/>
    <w:rsid w:val="00B2279B"/>
    <w:rsid w:val="00B3483F"/>
    <w:rsid w:val="00B35425"/>
    <w:rsid w:val="00B73BD9"/>
    <w:rsid w:val="00B80297"/>
    <w:rsid w:val="00BC1C65"/>
    <w:rsid w:val="00BF7F8D"/>
    <w:rsid w:val="00C16592"/>
    <w:rsid w:val="00C5489E"/>
    <w:rsid w:val="00C80443"/>
    <w:rsid w:val="00C84C00"/>
    <w:rsid w:val="00C92486"/>
    <w:rsid w:val="00C9498D"/>
    <w:rsid w:val="00CC3DAE"/>
    <w:rsid w:val="00CC4230"/>
    <w:rsid w:val="00CE27A4"/>
    <w:rsid w:val="00D558F4"/>
    <w:rsid w:val="00D63C4E"/>
    <w:rsid w:val="00DA0F02"/>
    <w:rsid w:val="00DA4BF1"/>
    <w:rsid w:val="00DC0D0A"/>
    <w:rsid w:val="00E00B49"/>
    <w:rsid w:val="00E03257"/>
    <w:rsid w:val="00E2260A"/>
    <w:rsid w:val="00E45955"/>
    <w:rsid w:val="00E94DEF"/>
    <w:rsid w:val="00EE103B"/>
    <w:rsid w:val="00EE1696"/>
    <w:rsid w:val="00EF2BED"/>
    <w:rsid w:val="00F16CAB"/>
    <w:rsid w:val="00F87C8B"/>
    <w:rsid w:val="00F906B8"/>
    <w:rsid w:val="00F93875"/>
    <w:rsid w:val="00FB3363"/>
    <w:rsid w:val="00FE14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CF70A"/>
  <w15:docId w15:val="{D4260326-4FD6-8E46-A3B2-2ED30CFA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A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031BD4"/>
  </w:style>
  <w:style w:type="paragraph" w:styleId="Header">
    <w:name w:val="header"/>
    <w:basedOn w:val="Normal"/>
    <w:link w:val="HeaderChar"/>
    <w:uiPriority w:val="99"/>
    <w:unhideWhenUsed/>
    <w:rsid w:val="00031BD4"/>
    <w:pPr>
      <w:tabs>
        <w:tab w:val="center" w:pos="4680"/>
        <w:tab w:val="right" w:pos="9360"/>
      </w:tabs>
    </w:pPr>
  </w:style>
  <w:style w:type="character" w:customStyle="1" w:styleId="HeaderChar">
    <w:name w:val="Header Char"/>
    <w:basedOn w:val="DefaultParagraphFont"/>
    <w:link w:val="Header"/>
    <w:uiPriority w:val="99"/>
    <w:rsid w:val="00031BD4"/>
  </w:style>
  <w:style w:type="paragraph" w:styleId="Footer">
    <w:name w:val="footer"/>
    <w:basedOn w:val="Normal"/>
    <w:link w:val="FooterChar"/>
    <w:uiPriority w:val="99"/>
    <w:unhideWhenUsed/>
    <w:rsid w:val="00031BD4"/>
    <w:pPr>
      <w:tabs>
        <w:tab w:val="center" w:pos="4680"/>
        <w:tab w:val="right" w:pos="9360"/>
      </w:tabs>
    </w:pPr>
  </w:style>
  <w:style w:type="character" w:customStyle="1" w:styleId="FooterChar">
    <w:name w:val="Footer Char"/>
    <w:basedOn w:val="DefaultParagraphFont"/>
    <w:link w:val="Footer"/>
    <w:uiPriority w:val="99"/>
    <w:rsid w:val="00031BD4"/>
  </w:style>
  <w:style w:type="character" w:styleId="Hyperlink">
    <w:name w:val="Hyperlink"/>
    <w:basedOn w:val="DefaultParagraphFont"/>
    <w:uiPriority w:val="99"/>
    <w:unhideWhenUsed/>
    <w:rsid w:val="00BC1C65"/>
    <w:rPr>
      <w:color w:val="0000FF" w:themeColor="hyperlink"/>
      <w:u w:val="single"/>
    </w:rPr>
  </w:style>
  <w:style w:type="character" w:styleId="UnresolvedMention">
    <w:name w:val="Unresolved Mention"/>
    <w:basedOn w:val="DefaultParagraphFont"/>
    <w:uiPriority w:val="99"/>
    <w:semiHidden/>
    <w:unhideWhenUsed/>
    <w:rsid w:val="00BC1C65"/>
    <w:rPr>
      <w:color w:val="605E5C"/>
      <w:shd w:val="clear" w:color="auto" w:fill="E1DFDD"/>
    </w:rPr>
  </w:style>
  <w:style w:type="paragraph" w:styleId="ListParagraph">
    <w:name w:val="List Paragraph"/>
    <w:basedOn w:val="Normal"/>
    <w:uiPriority w:val="34"/>
    <w:qFormat/>
    <w:rsid w:val="0043646D"/>
    <w:pPr>
      <w:ind w:left="720"/>
      <w:contextualSpacing/>
    </w:pPr>
  </w:style>
  <w:style w:type="character" w:customStyle="1" w:styleId="apple-converted-space">
    <w:name w:val="apple-converted-space"/>
    <w:basedOn w:val="DefaultParagraphFont"/>
    <w:rsid w:val="00A25B3D"/>
  </w:style>
  <w:style w:type="character" w:styleId="CommentReference">
    <w:name w:val="annotation reference"/>
    <w:basedOn w:val="DefaultParagraphFont"/>
    <w:uiPriority w:val="99"/>
    <w:semiHidden/>
    <w:unhideWhenUsed/>
    <w:rsid w:val="007F6E27"/>
    <w:rPr>
      <w:sz w:val="16"/>
      <w:szCs w:val="16"/>
    </w:rPr>
  </w:style>
  <w:style w:type="paragraph" w:styleId="CommentText">
    <w:name w:val="annotation text"/>
    <w:basedOn w:val="Normal"/>
    <w:link w:val="CommentTextChar"/>
    <w:uiPriority w:val="99"/>
    <w:unhideWhenUsed/>
    <w:rsid w:val="007F6E27"/>
    <w:rPr>
      <w:sz w:val="20"/>
      <w:szCs w:val="20"/>
    </w:rPr>
  </w:style>
  <w:style w:type="character" w:customStyle="1" w:styleId="CommentTextChar">
    <w:name w:val="Comment Text Char"/>
    <w:basedOn w:val="DefaultParagraphFont"/>
    <w:link w:val="CommentText"/>
    <w:uiPriority w:val="99"/>
    <w:rsid w:val="007F6E27"/>
    <w:rPr>
      <w:sz w:val="20"/>
      <w:szCs w:val="20"/>
    </w:rPr>
  </w:style>
  <w:style w:type="paragraph" w:styleId="CommentSubject">
    <w:name w:val="annotation subject"/>
    <w:basedOn w:val="CommentText"/>
    <w:next w:val="CommentText"/>
    <w:link w:val="CommentSubjectChar"/>
    <w:uiPriority w:val="99"/>
    <w:semiHidden/>
    <w:unhideWhenUsed/>
    <w:rsid w:val="007F6E27"/>
    <w:rPr>
      <w:b/>
      <w:bCs/>
    </w:rPr>
  </w:style>
  <w:style w:type="character" w:customStyle="1" w:styleId="CommentSubjectChar">
    <w:name w:val="Comment Subject Char"/>
    <w:basedOn w:val="CommentTextChar"/>
    <w:link w:val="CommentSubject"/>
    <w:uiPriority w:val="99"/>
    <w:semiHidden/>
    <w:rsid w:val="007F6E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7051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bewelloc.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guevara@ochca.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hpallares@cornerstonecomms.co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28089A-9F2A-436F-933D-F29A84B91D5B}">
  <ds:schemaRefs>
    <ds:schemaRef ds:uri="http://schemas.microsoft.com/sharepoint/v3/contenttype/forms"/>
  </ds:schemaRefs>
</ds:datastoreItem>
</file>

<file path=customXml/itemProps2.xml><?xml version="1.0" encoding="utf-8"?>
<ds:datastoreItem xmlns:ds="http://schemas.openxmlformats.org/officeDocument/2006/customXml" ds:itemID="{20EBD6FA-F1FE-44FD-8D58-06D879004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E0B4265-A450-4D6B-8C3E-7ED4D0FF4F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1662</Words>
  <Characters>9141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Guevara, Ellen</dc:creator>
  <cp:lastModifiedBy>Martina Viegas</cp:lastModifiedBy>
  <cp:revision>5</cp:revision>
  <dcterms:created xsi:type="dcterms:W3CDTF">2024-06-14T21:11:00Z</dcterms:created>
  <dcterms:modified xsi:type="dcterms:W3CDTF">2024-06-17T16:51:00Z</dcterms:modified>
</cp:coreProperties>
</file>